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22A5B" w14:textId="31739AE0" w:rsidR="008D3485" w:rsidRDefault="00272576" w:rsidP="00272576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Возможности антибактериальной терапии </w:t>
      </w:r>
      <w:r w:rsidRPr="007B66CE">
        <w:rPr>
          <w:rFonts w:ascii="Times New Roman" w:hAnsi="Times New Roman" w:cs="Times New Roman"/>
          <w:b/>
          <w:bCs/>
          <w:sz w:val="28"/>
          <w:szCs w:val="28"/>
        </w:rPr>
        <w:t>острого стрептококкового тонзиллофарингита</w:t>
      </w:r>
      <w:r>
        <w:rPr>
          <w:rFonts w:ascii="Times New Roman" w:hAnsi="Times New Roman" w:cs="Times New Roman"/>
          <w:b/>
          <w:bCs/>
          <w:sz w:val="28"/>
          <w:szCs w:val="28"/>
        </w:rPr>
        <w:t>: р</w:t>
      </w:r>
      <w:r w:rsidR="00C76F08">
        <w:rPr>
          <w:rFonts w:ascii="Times New Roman" w:hAnsi="Times New Roman" w:cs="Times New Roman"/>
          <w:b/>
          <w:bCs/>
          <w:sz w:val="28"/>
          <w:szCs w:val="28"/>
        </w:rPr>
        <w:t xml:space="preserve">езультаты рандомизированного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сравнительного </w:t>
      </w:r>
      <w:r w:rsidR="00C76F08">
        <w:rPr>
          <w:rFonts w:ascii="Times New Roman" w:hAnsi="Times New Roman" w:cs="Times New Roman"/>
          <w:b/>
          <w:bCs/>
          <w:sz w:val="28"/>
          <w:szCs w:val="28"/>
        </w:rPr>
        <w:t xml:space="preserve">клинического исследования по применению </w:t>
      </w:r>
      <w:r w:rsidR="00C76F08" w:rsidRPr="007B66CE">
        <w:rPr>
          <w:rFonts w:ascii="Times New Roman" w:hAnsi="Times New Roman" w:cs="Times New Roman"/>
          <w:b/>
          <w:bCs/>
          <w:sz w:val="28"/>
          <w:szCs w:val="28"/>
        </w:rPr>
        <w:t xml:space="preserve">Амоксициллина + Клавулановой кислоты ЭКСПРЕСС в форме диспергируемых таблеток </w:t>
      </w:r>
    </w:p>
    <w:p w14:paraId="3B0952F3" w14:textId="77777777" w:rsidR="00414A22" w:rsidRPr="00272576" w:rsidRDefault="00414A22" w:rsidP="00272576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276EC" w14:textId="5786204D" w:rsidR="00B20449" w:rsidRPr="00272576" w:rsidRDefault="00BF30A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272576">
        <w:rPr>
          <w:rFonts w:ascii="Times New Roman" w:hAnsi="Times New Roman" w:cs="Times New Roman"/>
          <w:b/>
          <w:bCs/>
          <w:sz w:val="24"/>
          <w:szCs w:val="24"/>
        </w:rPr>
        <w:t>Карпищенко С.А.</w:t>
      </w:r>
      <w:r w:rsidR="0027257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272576">
        <w:rPr>
          <w:rFonts w:ascii="Times New Roman" w:hAnsi="Times New Roman" w:cs="Times New Roman"/>
          <w:b/>
          <w:bCs/>
          <w:sz w:val="24"/>
          <w:szCs w:val="24"/>
        </w:rPr>
        <w:t>, Рябова М.А.</w:t>
      </w:r>
      <w:r w:rsidR="0027257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272576">
        <w:rPr>
          <w:rFonts w:ascii="Times New Roman" w:hAnsi="Times New Roman" w:cs="Times New Roman"/>
          <w:b/>
          <w:bCs/>
          <w:sz w:val="24"/>
          <w:szCs w:val="24"/>
        </w:rPr>
        <w:t>, Колесникова О.М.</w:t>
      </w:r>
      <w:r w:rsidR="0027257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272576">
        <w:rPr>
          <w:rFonts w:ascii="Times New Roman" w:hAnsi="Times New Roman" w:cs="Times New Roman"/>
          <w:b/>
          <w:bCs/>
          <w:sz w:val="24"/>
          <w:szCs w:val="24"/>
        </w:rPr>
        <w:t>, Улупов М.Ю.</w:t>
      </w:r>
      <w:r w:rsidR="0027257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14:paraId="76B41C8E" w14:textId="5BCED79C" w:rsidR="001259FD" w:rsidRPr="00272576" w:rsidRDefault="00272576" w:rsidP="002725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25A85" w:rsidRPr="00272576">
        <w:rPr>
          <w:rFonts w:ascii="Times New Roman" w:hAnsi="Times New Roman" w:cs="Times New Roman"/>
          <w:sz w:val="24"/>
          <w:szCs w:val="24"/>
        </w:rPr>
        <w:t xml:space="preserve">ФГБОУ ВО «Первый Санкт-Петербургский государственный медицинский университет им. акад. И.П. Павлова» Минздрава России, </w:t>
      </w:r>
      <w:r w:rsidR="001259FD" w:rsidRPr="00272576">
        <w:rPr>
          <w:rFonts w:ascii="Times New Roman" w:hAnsi="Times New Roman" w:cs="Times New Roman"/>
          <w:sz w:val="24"/>
          <w:szCs w:val="24"/>
        </w:rPr>
        <w:t>197022, г. Санкт-Петербург, ул. Льва Толстого, д. 6-8</w:t>
      </w:r>
      <w:r w:rsidR="001259FD" w:rsidRPr="00272576" w:rsidDel="001259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4FD0C" w14:textId="6F712003" w:rsidR="00B20449" w:rsidRPr="00272576" w:rsidRDefault="00B20449" w:rsidP="002725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76">
        <w:rPr>
          <w:rFonts w:ascii="Times New Roman" w:hAnsi="Times New Roman" w:cs="Times New Roman"/>
          <w:sz w:val="24"/>
          <w:szCs w:val="24"/>
        </w:rPr>
        <w:t>Карпищенко Сергей Анатольевич – профессор, д.м.н., кафедра оториноларингологии с клиникой.</w:t>
      </w:r>
    </w:p>
    <w:p w14:paraId="22E01547" w14:textId="375AD87F" w:rsidR="00B20449" w:rsidRPr="00272576" w:rsidRDefault="00B20449" w:rsidP="002725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76">
        <w:rPr>
          <w:rFonts w:ascii="Times New Roman" w:hAnsi="Times New Roman" w:cs="Times New Roman"/>
          <w:sz w:val="24"/>
          <w:szCs w:val="24"/>
        </w:rPr>
        <w:t>Рябова Марина Андреевна – профессор, д.м.н., кафедра оториноларингологии с клиникой.</w:t>
      </w:r>
    </w:p>
    <w:p w14:paraId="38E82AE3" w14:textId="17DA09A0" w:rsidR="00B20449" w:rsidRPr="00272576" w:rsidRDefault="00B20449" w:rsidP="002725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76">
        <w:rPr>
          <w:rFonts w:ascii="Times New Roman" w:hAnsi="Times New Roman" w:cs="Times New Roman"/>
          <w:sz w:val="24"/>
          <w:szCs w:val="24"/>
        </w:rPr>
        <w:t>Колесникова Ольга Михайловна – доцент, к.м.н., кафедра оториноларингологии с клиникой.</w:t>
      </w:r>
    </w:p>
    <w:p w14:paraId="72FB30C8" w14:textId="314F470F" w:rsidR="00B20449" w:rsidRPr="00272576" w:rsidRDefault="00B20449" w:rsidP="002725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76">
        <w:rPr>
          <w:rFonts w:ascii="Times New Roman" w:hAnsi="Times New Roman" w:cs="Times New Roman"/>
          <w:sz w:val="24"/>
          <w:szCs w:val="24"/>
        </w:rPr>
        <w:t>Улупов Михаил Юрьевич – доцент, к.м.н., кафедра оториноларингологии с клиникой.</w:t>
      </w:r>
    </w:p>
    <w:p w14:paraId="6CE67E58" w14:textId="77777777" w:rsidR="00741FB5" w:rsidRDefault="00741FB5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57CD8" w14:textId="66768C05" w:rsidR="00C76F08" w:rsidRDefault="00A25A85" w:rsidP="001E507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576">
        <w:rPr>
          <w:rFonts w:ascii="Times New Roman" w:hAnsi="Times New Roman" w:cs="Times New Roman"/>
          <w:b/>
          <w:bCs/>
          <w:sz w:val="24"/>
          <w:szCs w:val="24"/>
        </w:rPr>
        <w:t>Резюме</w:t>
      </w:r>
    </w:p>
    <w:p w14:paraId="0C8705FB" w14:textId="6440B5CB" w:rsidR="002D2C24" w:rsidRPr="00741FB5" w:rsidRDefault="00C76F08" w:rsidP="00741F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B5">
        <w:rPr>
          <w:rFonts w:ascii="Times New Roman" w:hAnsi="Times New Roman" w:cs="Times New Roman"/>
          <w:b/>
          <w:bCs/>
          <w:sz w:val="24"/>
          <w:szCs w:val="24"/>
        </w:rPr>
        <w:t xml:space="preserve">Введение: </w:t>
      </w:r>
      <w:r w:rsidR="00741FB5">
        <w:rPr>
          <w:rFonts w:ascii="Times New Roman" w:hAnsi="Times New Roman" w:cs="Times New Roman"/>
          <w:sz w:val="24"/>
          <w:szCs w:val="24"/>
        </w:rPr>
        <w:t>острый</w:t>
      </w:r>
      <w:r w:rsidR="007020BD" w:rsidRPr="00741FB5">
        <w:rPr>
          <w:rFonts w:ascii="Times New Roman" w:hAnsi="Times New Roman" w:cs="Times New Roman"/>
          <w:sz w:val="24"/>
          <w:szCs w:val="24"/>
        </w:rPr>
        <w:t xml:space="preserve"> тонзиллофарингит является одним из наиболее распространенных типов инфекций дыхательных путей. При бактериальной этиологии заболевания </w:t>
      </w:r>
      <w:r w:rsidR="00741FB5" w:rsidRPr="00741FB5">
        <w:rPr>
          <w:rFonts w:ascii="Times New Roman" w:hAnsi="Times New Roman" w:cs="Times New Roman"/>
          <w:sz w:val="24"/>
          <w:szCs w:val="24"/>
        </w:rPr>
        <w:t>назначаются антибиотики пенициллинового ряда, в частности</w:t>
      </w:r>
      <w:r w:rsidR="007020BD" w:rsidRPr="00741FB5">
        <w:rPr>
          <w:rFonts w:ascii="Times New Roman" w:hAnsi="Times New Roman" w:cs="Times New Roman"/>
          <w:sz w:val="24"/>
          <w:szCs w:val="24"/>
        </w:rPr>
        <w:t xml:space="preserve"> амоксициллин</w:t>
      </w:r>
      <w:r w:rsidR="00741FB5" w:rsidRPr="00741FB5">
        <w:rPr>
          <w:rFonts w:ascii="Times New Roman" w:hAnsi="Times New Roman" w:cs="Times New Roman"/>
          <w:sz w:val="24"/>
          <w:szCs w:val="24"/>
        </w:rPr>
        <w:t xml:space="preserve"> </w:t>
      </w:r>
      <w:r w:rsidR="007020BD" w:rsidRPr="00741FB5">
        <w:rPr>
          <w:rFonts w:ascii="Times New Roman" w:hAnsi="Times New Roman" w:cs="Times New Roman"/>
          <w:sz w:val="24"/>
          <w:szCs w:val="24"/>
        </w:rPr>
        <w:t>+</w:t>
      </w:r>
      <w:r w:rsidR="00741FB5" w:rsidRPr="00741FB5">
        <w:rPr>
          <w:rFonts w:ascii="Times New Roman" w:hAnsi="Times New Roman" w:cs="Times New Roman"/>
          <w:sz w:val="24"/>
          <w:szCs w:val="24"/>
        </w:rPr>
        <w:t xml:space="preserve"> </w:t>
      </w:r>
      <w:r w:rsidR="007020BD" w:rsidRPr="00741FB5">
        <w:rPr>
          <w:rFonts w:ascii="Times New Roman" w:hAnsi="Times New Roman" w:cs="Times New Roman"/>
          <w:sz w:val="24"/>
          <w:szCs w:val="24"/>
        </w:rPr>
        <w:t xml:space="preserve">клавулановая кислота. </w:t>
      </w:r>
      <w:r w:rsidR="00ED52BA" w:rsidRPr="00741FB5">
        <w:rPr>
          <w:rFonts w:ascii="Times New Roman" w:hAnsi="Times New Roman" w:cs="Times New Roman"/>
          <w:sz w:val="24"/>
          <w:szCs w:val="24"/>
        </w:rPr>
        <w:t>Д</w:t>
      </w:r>
      <w:r w:rsidR="007020BD" w:rsidRPr="00741FB5">
        <w:rPr>
          <w:rFonts w:ascii="Times New Roman" w:hAnsi="Times New Roman" w:cs="Times New Roman"/>
          <w:sz w:val="24"/>
          <w:szCs w:val="24"/>
        </w:rPr>
        <w:t>испергируемы</w:t>
      </w:r>
      <w:r w:rsidR="00ED52BA" w:rsidRPr="00741FB5">
        <w:rPr>
          <w:rFonts w:ascii="Times New Roman" w:hAnsi="Times New Roman" w:cs="Times New Roman"/>
          <w:sz w:val="24"/>
          <w:szCs w:val="24"/>
        </w:rPr>
        <w:t>е</w:t>
      </w:r>
      <w:r w:rsidR="007020BD" w:rsidRPr="00741FB5">
        <w:rPr>
          <w:rFonts w:ascii="Times New Roman" w:hAnsi="Times New Roman" w:cs="Times New Roman"/>
          <w:sz w:val="24"/>
          <w:szCs w:val="24"/>
        </w:rPr>
        <w:t xml:space="preserve"> форм</w:t>
      </w:r>
      <w:r w:rsidR="00ED52BA" w:rsidRPr="00741FB5">
        <w:rPr>
          <w:rFonts w:ascii="Times New Roman" w:hAnsi="Times New Roman" w:cs="Times New Roman"/>
          <w:sz w:val="24"/>
          <w:szCs w:val="24"/>
        </w:rPr>
        <w:t>ы</w:t>
      </w:r>
      <w:r w:rsidR="007020BD" w:rsidRPr="00741FB5">
        <w:rPr>
          <w:rFonts w:ascii="Times New Roman" w:hAnsi="Times New Roman" w:cs="Times New Roman"/>
          <w:sz w:val="24"/>
          <w:szCs w:val="24"/>
        </w:rPr>
        <w:t xml:space="preserve"> антибактериальных препаратов</w:t>
      </w:r>
      <w:r w:rsidR="00ED52BA" w:rsidRPr="00741FB5">
        <w:rPr>
          <w:rFonts w:ascii="Times New Roman" w:hAnsi="Times New Roman" w:cs="Times New Roman"/>
          <w:sz w:val="24"/>
          <w:szCs w:val="24"/>
        </w:rPr>
        <w:t xml:space="preserve"> обладают рядом преимуществ над таблетками, покрытыми пленочной оболочкой, характеризуются лучш</w:t>
      </w:r>
      <w:r w:rsidR="00741FB5">
        <w:rPr>
          <w:rFonts w:ascii="Times New Roman" w:hAnsi="Times New Roman" w:cs="Times New Roman"/>
          <w:sz w:val="24"/>
          <w:szCs w:val="24"/>
        </w:rPr>
        <w:t>ими</w:t>
      </w:r>
      <w:r w:rsidR="00ED52BA" w:rsidRPr="00741FB5">
        <w:rPr>
          <w:rFonts w:ascii="Times New Roman" w:hAnsi="Times New Roman" w:cs="Times New Roman"/>
          <w:sz w:val="24"/>
          <w:szCs w:val="24"/>
        </w:rPr>
        <w:t xml:space="preserve"> фармакокинети</w:t>
      </w:r>
      <w:r w:rsidR="00741FB5">
        <w:rPr>
          <w:rFonts w:ascii="Times New Roman" w:hAnsi="Times New Roman" w:cs="Times New Roman"/>
          <w:sz w:val="24"/>
          <w:szCs w:val="24"/>
        </w:rPr>
        <w:t>ческими параметрами</w:t>
      </w:r>
      <w:r w:rsidR="00ED52BA" w:rsidRPr="00741FB5">
        <w:rPr>
          <w:rFonts w:ascii="Times New Roman" w:hAnsi="Times New Roman" w:cs="Times New Roman"/>
          <w:sz w:val="24"/>
          <w:szCs w:val="24"/>
        </w:rPr>
        <w:t>, повышающ</w:t>
      </w:r>
      <w:r w:rsidR="00741FB5">
        <w:rPr>
          <w:rFonts w:ascii="Times New Roman" w:hAnsi="Times New Roman" w:cs="Times New Roman"/>
          <w:sz w:val="24"/>
          <w:szCs w:val="24"/>
        </w:rPr>
        <w:t>ими</w:t>
      </w:r>
      <w:r w:rsidR="00ED52BA" w:rsidRPr="00741FB5">
        <w:rPr>
          <w:rFonts w:ascii="Times New Roman" w:hAnsi="Times New Roman" w:cs="Times New Roman"/>
          <w:sz w:val="24"/>
          <w:szCs w:val="24"/>
        </w:rPr>
        <w:t xml:space="preserve"> эффективность и безопасность лечения, а также комплаентность пациентов.</w:t>
      </w:r>
    </w:p>
    <w:p w14:paraId="6303EF87" w14:textId="77822956" w:rsidR="00A25A85" w:rsidRPr="00741FB5" w:rsidRDefault="00A25A85" w:rsidP="00741F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B5">
        <w:rPr>
          <w:rFonts w:ascii="Times New Roman" w:hAnsi="Times New Roman" w:cs="Times New Roman"/>
          <w:b/>
          <w:sz w:val="24"/>
          <w:szCs w:val="24"/>
        </w:rPr>
        <w:t>Цель:</w:t>
      </w:r>
      <w:r w:rsidR="00741FB5">
        <w:rPr>
          <w:rFonts w:ascii="Times New Roman" w:hAnsi="Times New Roman" w:cs="Times New Roman"/>
          <w:sz w:val="24"/>
          <w:szCs w:val="24"/>
        </w:rPr>
        <w:t xml:space="preserve"> с</w:t>
      </w:r>
      <w:r w:rsidRPr="00741FB5">
        <w:rPr>
          <w:rFonts w:ascii="Times New Roman" w:hAnsi="Times New Roman" w:cs="Times New Roman"/>
          <w:sz w:val="24"/>
          <w:szCs w:val="24"/>
        </w:rPr>
        <w:t xml:space="preserve">равнить эффективность и безопасность Амоксициллина + Клавулановой кислоты ЭКСПРЕСС в форме диспергируемых таблеток и амоксициллина с клавулановой кислотой в таблетках, покрытых пленочной оболочкой, в терапии </w:t>
      </w:r>
      <w:r w:rsidR="000F506A" w:rsidRPr="00741FB5">
        <w:rPr>
          <w:rFonts w:ascii="Times New Roman" w:hAnsi="Times New Roman" w:cs="Times New Roman"/>
          <w:sz w:val="24"/>
          <w:szCs w:val="24"/>
        </w:rPr>
        <w:t xml:space="preserve">острого </w:t>
      </w:r>
      <w:r w:rsidRPr="00741FB5">
        <w:rPr>
          <w:rFonts w:ascii="Times New Roman" w:hAnsi="Times New Roman" w:cs="Times New Roman"/>
          <w:sz w:val="24"/>
          <w:szCs w:val="24"/>
        </w:rPr>
        <w:t>стрептококкового тонзиллофарингита.</w:t>
      </w:r>
    </w:p>
    <w:p w14:paraId="5391F6F5" w14:textId="25EB66BC" w:rsidR="00A25A85" w:rsidRPr="00741FB5" w:rsidRDefault="00A25A85" w:rsidP="00741F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B5">
        <w:rPr>
          <w:rFonts w:ascii="Times New Roman" w:hAnsi="Times New Roman" w:cs="Times New Roman"/>
          <w:b/>
          <w:sz w:val="24"/>
          <w:szCs w:val="24"/>
        </w:rPr>
        <w:t>Материалы и методы:</w:t>
      </w:r>
      <w:r w:rsidRPr="00741FB5">
        <w:rPr>
          <w:rFonts w:ascii="Times New Roman" w:hAnsi="Times New Roman" w:cs="Times New Roman"/>
          <w:sz w:val="24"/>
          <w:szCs w:val="24"/>
        </w:rPr>
        <w:t xml:space="preserve"> </w:t>
      </w:r>
      <w:r w:rsidR="00741FB5" w:rsidRPr="00741FB5">
        <w:rPr>
          <w:rFonts w:ascii="Times New Roman" w:hAnsi="Times New Roman" w:cs="Times New Roman"/>
          <w:sz w:val="24"/>
          <w:szCs w:val="24"/>
        </w:rPr>
        <w:t>в</w:t>
      </w:r>
      <w:r w:rsidRPr="00741FB5">
        <w:rPr>
          <w:rFonts w:ascii="Times New Roman" w:hAnsi="Times New Roman" w:cs="Times New Roman"/>
          <w:sz w:val="24"/>
          <w:szCs w:val="24"/>
        </w:rPr>
        <w:t xml:space="preserve"> </w:t>
      </w:r>
      <w:r w:rsidR="00774F28" w:rsidRPr="00741FB5">
        <w:rPr>
          <w:rFonts w:ascii="Times New Roman" w:hAnsi="Times New Roman" w:cs="Times New Roman"/>
          <w:sz w:val="24"/>
          <w:szCs w:val="24"/>
        </w:rPr>
        <w:t xml:space="preserve">рандомизированном </w:t>
      </w:r>
      <w:r w:rsidR="00F83EEB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965838" w:rsidRPr="00741FB5">
        <w:rPr>
          <w:rFonts w:ascii="Times New Roman" w:hAnsi="Times New Roman" w:cs="Times New Roman"/>
          <w:sz w:val="24"/>
          <w:szCs w:val="24"/>
        </w:rPr>
        <w:t xml:space="preserve">сравнительном клиническом </w:t>
      </w:r>
      <w:r w:rsidRPr="00741FB5">
        <w:rPr>
          <w:rFonts w:ascii="Times New Roman" w:hAnsi="Times New Roman" w:cs="Times New Roman"/>
          <w:sz w:val="24"/>
          <w:szCs w:val="24"/>
        </w:rPr>
        <w:t xml:space="preserve">исследовании приняли участие 60 взрослых пациентов с диагнозом «острый стрептококковый тонзиллофарингит». </w:t>
      </w:r>
      <w:r w:rsidR="00623430" w:rsidRPr="00741FB5">
        <w:rPr>
          <w:rFonts w:ascii="Times New Roman" w:hAnsi="Times New Roman" w:cs="Times New Roman"/>
          <w:sz w:val="24"/>
          <w:szCs w:val="24"/>
        </w:rPr>
        <w:t>Пациенты в</w:t>
      </w:r>
      <w:r w:rsidRPr="00741FB5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23430" w:rsidRPr="00741FB5">
        <w:rPr>
          <w:rFonts w:ascii="Times New Roman" w:hAnsi="Times New Roman" w:cs="Times New Roman"/>
          <w:sz w:val="24"/>
          <w:szCs w:val="24"/>
        </w:rPr>
        <w:t>е 1</w:t>
      </w:r>
      <w:r w:rsidRPr="00741FB5">
        <w:rPr>
          <w:rFonts w:ascii="Times New Roman" w:hAnsi="Times New Roman" w:cs="Times New Roman"/>
          <w:sz w:val="24"/>
          <w:szCs w:val="24"/>
        </w:rPr>
        <w:t xml:space="preserve"> </w:t>
      </w:r>
      <w:r w:rsidR="00774F28" w:rsidRPr="00741FB5">
        <w:rPr>
          <w:rFonts w:ascii="Times New Roman" w:hAnsi="Times New Roman" w:cs="Times New Roman"/>
          <w:sz w:val="24"/>
          <w:szCs w:val="24"/>
        </w:rPr>
        <w:t>(</w:t>
      </w:r>
      <w:r w:rsidR="00774F28" w:rsidRPr="00741FB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74F28" w:rsidRPr="00741FB5">
        <w:rPr>
          <w:rFonts w:ascii="Times New Roman" w:hAnsi="Times New Roman" w:cs="Times New Roman"/>
          <w:sz w:val="24"/>
          <w:szCs w:val="24"/>
        </w:rPr>
        <w:t>=30)</w:t>
      </w:r>
      <w:r w:rsidRPr="00741FB5">
        <w:rPr>
          <w:rFonts w:ascii="Times New Roman" w:hAnsi="Times New Roman" w:cs="Times New Roman"/>
          <w:sz w:val="24"/>
          <w:szCs w:val="24"/>
        </w:rPr>
        <w:t xml:space="preserve"> получал</w:t>
      </w:r>
      <w:r w:rsidR="00623430" w:rsidRPr="00741FB5">
        <w:rPr>
          <w:rFonts w:ascii="Times New Roman" w:hAnsi="Times New Roman" w:cs="Times New Roman"/>
          <w:sz w:val="24"/>
          <w:szCs w:val="24"/>
        </w:rPr>
        <w:t>и</w:t>
      </w:r>
      <w:r w:rsidRPr="00741FB5">
        <w:rPr>
          <w:rFonts w:ascii="Times New Roman" w:hAnsi="Times New Roman" w:cs="Times New Roman"/>
          <w:sz w:val="24"/>
          <w:szCs w:val="24"/>
        </w:rPr>
        <w:t xml:space="preserve"> препарат Амоксициллин + Клавулановая кислота ЭКСПРЕСС</w:t>
      </w:r>
      <w:r w:rsidR="00623430" w:rsidRPr="00741FB5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Pr="00741FB5">
        <w:rPr>
          <w:rFonts w:ascii="Times New Roman" w:hAnsi="Times New Roman" w:cs="Times New Roman"/>
          <w:sz w:val="24"/>
          <w:szCs w:val="24"/>
        </w:rPr>
        <w:t>диспергируемы</w:t>
      </w:r>
      <w:r w:rsidR="00623430" w:rsidRPr="00741FB5">
        <w:rPr>
          <w:rFonts w:ascii="Times New Roman" w:hAnsi="Times New Roman" w:cs="Times New Roman"/>
          <w:sz w:val="24"/>
          <w:szCs w:val="24"/>
        </w:rPr>
        <w:t>х</w:t>
      </w:r>
      <w:r w:rsidRPr="00741FB5">
        <w:rPr>
          <w:rFonts w:ascii="Times New Roman" w:hAnsi="Times New Roman" w:cs="Times New Roman"/>
          <w:sz w:val="24"/>
          <w:szCs w:val="24"/>
        </w:rPr>
        <w:t xml:space="preserve"> таблет</w:t>
      </w:r>
      <w:r w:rsidR="00623430" w:rsidRPr="00741FB5">
        <w:rPr>
          <w:rFonts w:ascii="Times New Roman" w:hAnsi="Times New Roman" w:cs="Times New Roman"/>
          <w:sz w:val="24"/>
          <w:szCs w:val="24"/>
        </w:rPr>
        <w:t>ок</w:t>
      </w:r>
      <w:r w:rsidRPr="00741FB5">
        <w:rPr>
          <w:rFonts w:ascii="Times New Roman" w:hAnsi="Times New Roman" w:cs="Times New Roman"/>
          <w:sz w:val="24"/>
          <w:szCs w:val="24"/>
        </w:rPr>
        <w:t xml:space="preserve"> по 875 мг + 125 мг 2 раза в сутки. </w:t>
      </w:r>
      <w:r w:rsidR="005F0A43" w:rsidRPr="00741FB5">
        <w:rPr>
          <w:rFonts w:ascii="Times New Roman" w:hAnsi="Times New Roman" w:cs="Times New Roman"/>
          <w:sz w:val="24"/>
          <w:szCs w:val="24"/>
        </w:rPr>
        <w:t>Группа 2</w:t>
      </w:r>
      <w:r w:rsidRPr="00741FB5">
        <w:rPr>
          <w:rFonts w:ascii="Times New Roman" w:hAnsi="Times New Roman" w:cs="Times New Roman"/>
          <w:sz w:val="24"/>
          <w:szCs w:val="24"/>
        </w:rPr>
        <w:t xml:space="preserve"> </w:t>
      </w:r>
      <w:r w:rsidR="00774F28" w:rsidRPr="00741FB5">
        <w:rPr>
          <w:rFonts w:ascii="Times New Roman" w:hAnsi="Times New Roman" w:cs="Times New Roman"/>
          <w:sz w:val="24"/>
          <w:szCs w:val="24"/>
        </w:rPr>
        <w:t>(</w:t>
      </w:r>
      <w:r w:rsidR="00774F28" w:rsidRPr="00741FB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74F28" w:rsidRPr="00741FB5">
        <w:rPr>
          <w:rFonts w:ascii="Times New Roman" w:hAnsi="Times New Roman" w:cs="Times New Roman"/>
          <w:sz w:val="24"/>
          <w:szCs w:val="24"/>
        </w:rPr>
        <w:t xml:space="preserve">=30) </w:t>
      </w:r>
      <w:r w:rsidRPr="00741FB5">
        <w:rPr>
          <w:rFonts w:ascii="Times New Roman" w:hAnsi="Times New Roman" w:cs="Times New Roman"/>
          <w:sz w:val="24"/>
          <w:szCs w:val="24"/>
        </w:rPr>
        <w:t xml:space="preserve">получала </w:t>
      </w:r>
      <w:r w:rsidR="00623430" w:rsidRPr="00741FB5">
        <w:rPr>
          <w:rFonts w:ascii="Times New Roman" w:hAnsi="Times New Roman" w:cs="Times New Roman"/>
          <w:sz w:val="24"/>
          <w:szCs w:val="24"/>
        </w:rPr>
        <w:t>амоксициллин + клавулановая кислота в таблетках, покрытых пленочной оболочкой (</w:t>
      </w:r>
      <w:r w:rsidRPr="00741FB5">
        <w:rPr>
          <w:rFonts w:ascii="Times New Roman" w:hAnsi="Times New Roman" w:cs="Times New Roman"/>
          <w:sz w:val="24"/>
          <w:szCs w:val="24"/>
        </w:rPr>
        <w:t>Амоксиклав</w:t>
      </w:r>
      <w:r w:rsidR="00623430" w:rsidRPr="00741FB5">
        <w:rPr>
          <w:rFonts w:ascii="Times New Roman" w:hAnsi="Times New Roman" w:cs="Times New Roman"/>
          <w:sz w:val="24"/>
          <w:szCs w:val="24"/>
        </w:rPr>
        <w:t>)</w:t>
      </w:r>
      <w:r w:rsidRPr="00741FB5">
        <w:rPr>
          <w:rFonts w:ascii="Times New Roman" w:hAnsi="Times New Roman" w:cs="Times New Roman"/>
          <w:sz w:val="24"/>
          <w:szCs w:val="24"/>
        </w:rPr>
        <w:t xml:space="preserve"> по 875 мг + 125 мг 2 раза в сутки. Длительность курса лечения </w:t>
      </w:r>
      <w:r w:rsidR="00623430" w:rsidRPr="00741FB5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741FB5">
        <w:rPr>
          <w:rFonts w:ascii="Times New Roman" w:hAnsi="Times New Roman" w:cs="Times New Roman"/>
          <w:sz w:val="24"/>
          <w:szCs w:val="24"/>
        </w:rPr>
        <w:t>10 дней.</w:t>
      </w:r>
      <w:r w:rsidR="00D7020E" w:rsidRPr="00741FB5">
        <w:rPr>
          <w:rFonts w:ascii="Times New Roman" w:hAnsi="Times New Roman" w:cs="Times New Roman"/>
          <w:sz w:val="24"/>
          <w:szCs w:val="24"/>
        </w:rPr>
        <w:t xml:space="preserve"> Всем пациентам проводились общеклинический и оториноларингологический осмотры, экспресс-тест для выявления антигенов стрептококка группы А в мазке с задней стенки глотки (стрепт</w:t>
      </w:r>
      <w:r w:rsidR="008753F2" w:rsidRPr="00741FB5">
        <w:rPr>
          <w:rFonts w:ascii="Times New Roman" w:hAnsi="Times New Roman" w:cs="Times New Roman"/>
          <w:sz w:val="24"/>
          <w:szCs w:val="24"/>
        </w:rPr>
        <w:t>а</w:t>
      </w:r>
      <w:r w:rsidR="00D7020E" w:rsidRPr="00741FB5">
        <w:rPr>
          <w:rFonts w:ascii="Times New Roman" w:hAnsi="Times New Roman" w:cs="Times New Roman"/>
          <w:sz w:val="24"/>
          <w:szCs w:val="24"/>
        </w:rPr>
        <w:t>тест), оценка симптомов острого тонзиллофарингита по шкале МакАйзека, выраженности боли в горле, трудности глотания, отёч</w:t>
      </w:r>
      <w:r w:rsidR="00965838" w:rsidRPr="00741FB5">
        <w:rPr>
          <w:rFonts w:ascii="Times New Roman" w:hAnsi="Times New Roman" w:cs="Times New Roman"/>
          <w:sz w:val="24"/>
          <w:szCs w:val="24"/>
        </w:rPr>
        <w:t>ности (опухания) горла,</w:t>
      </w:r>
      <w:r w:rsidR="00D7020E" w:rsidRPr="00741FB5">
        <w:rPr>
          <w:rFonts w:ascii="Times New Roman" w:hAnsi="Times New Roman" w:cs="Times New Roman"/>
          <w:sz w:val="24"/>
          <w:szCs w:val="24"/>
        </w:rPr>
        <w:t xml:space="preserve"> измерение температуры тела</w:t>
      </w:r>
      <w:r w:rsidR="00965838" w:rsidRPr="00741FB5">
        <w:rPr>
          <w:rFonts w:ascii="Times New Roman" w:hAnsi="Times New Roman" w:cs="Times New Roman"/>
          <w:sz w:val="24"/>
          <w:szCs w:val="24"/>
        </w:rPr>
        <w:t xml:space="preserve">, оценка общего клинического впечатления проводимой терапии, приверженности к лечению, </w:t>
      </w:r>
      <w:r w:rsidR="00965838" w:rsidRPr="00741FB5">
        <w:rPr>
          <w:rFonts w:ascii="Times New Roman" w:hAnsi="Times New Roman" w:cs="Times New Roman"/>
          <w:sz w:val="24"/>
          <w:szCs w:val="24"/>
        </w:rPr>
        <w:lastRenderedPageBreak/>
        <w:t xml:space="preserve">анализ частоты нежелательных </w:t>
      </w:r>
      <w:r w:rsidR="00741FB5">
        <w:rPr>
          <w:rFonts w:ascii="Times New Roman" w:hAnsi="Times New Roman" w:cs="Times New Roman"/>
          <w:sz w:val="24"/>
          <w:szCs w:val="24"/>
        </w:rPr>
        <w:t>явлений</w:t>
      </w:r>
      <w:r w:rsidR="00623430" w:rsidRPr="00741FB5">
        <w:rPr>
          <w:rFonts w:ascii="Times New Roman" w:hAnsi="Times New Roman" w:cs="Times New Roman"/>
          <w:sz w:val="24"/>
          <w:szCs w:val="24"/>
        </w:rPr>
        <w:t xml:space="preserve"> до лечения, через 3 дня после начала терапии и после завершения курса (10 день)</w:t>
      </w:r>
      <w:r w:rsidR="00D7020E" w:rsidRPr="00741FB5">
        <w:rPr>
          <w:rFonts w:ascii="Times New Roman" w:hAnsi="Times New Roman" w:cs="Times New Roman"/>
          <w:sz w:val="24"/>
          <w:szCs w:val="24"/>
        </w:rPr>
        <w:t>.</w:t>
      </w:r>
    </w:p>
    <w:p w14:paraId="6875AA63" w14:textId="03972AC4" w:rsidR="00F128E3" w:rsidRPr="001E507E" w:rsidRDefault="00EF2442" w:rsidP="00741F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B5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741FB5">
        <w:rPr>
          <w:rFonts w:ascii="Times New Roman" w:hAnsi="Times New Roman" w:cs="Times New Roman"/>
          <w:sz w:val="24"/>
          <w:szCs w:val="24"/>
        </w:rPr>
        <w:t xml:space="preserve"> </w:t>
      </w:r>
      <w:r w:rsidR="00741FB5">
        <w:rPr>
          <w:rFonts w:ascii="Times New Roman" w:hAnsi="Times New Roman" w:cs="Times New Roman"/>
          <w:sz w:val="24"/>
          <w:szCs w:val="24"/>
        </w:rPr>
        <w:t>в</w:t>
      </w:r>
      <w:r w:rsidR="007037A6" w:rsidRPr="00741FB5">
        <w:rPr>
          <w:rFonts w:ascii="Times New Roman" w:hAnsi="Times New Roman" w:cs="Times New Roman"/>
          <w:sz w:val="24"/>
          <w:szCs w:val="24"/>
        </w:rPr>
        <w:t xml:space="preserve">ыздоровление наступило у 96,6% </w:t>
      </w:r>
      <w:r w:rsidR="00A07761" w:rsidRPr="00741FB5">
        <w:rPr>
          <w:rFonts w:ascii="Times New Roman" w:hAnsi="Times New Roman" w:cs="Times New Roman"/>
          <w:sz w:val="24"/>
          <w:szCs w:val="24"/>
        </w:rPr>
        <w:t xml:space="preserve">пациентов в группе 1 </w:t>
      </w:r>
      <w:r w:rsidR="007037A6" w:rsidRPr="00741FB5">
        <w:rPr>
          <w:rFonts w:ascii="Times New Roman" w:hAnsi="Times New Roman" w:cs="Times New Roman"/>
          <w:sz w:val="24"/>
          <w:szCs w:val="24"/>
        </w:rPr>
        <w:t>по данны</w:t>
      </w:r>
      <w:r w:rsidR="00741FB5">
        <w:rPr>
          <w:rFonts w:ascii="Times New Roman" w:hAnsi="Times New Roman" w:cs="Times New Roman"/>
          <w:sz w:val="24"/>
          <w:szCs w:val="24"/>
        </w:rPr>
        <w:t>м осмотра на 10-ый день лечения</w:t>
      </w:r>
      <w:r w:rsidR="007037A6" w:rsidRPr="00741FB5">
        <w:rPr>
          <w:rFonts w:ascii="Times New Roman" w:hAnsi="Times New Roman" w:cs="Times New Roman"/>
          <w:sz w:val="24"/>
          <w:szCs w:val="24"/>
        </w:rPr>
        <w:t xml:space="preserve"> </w:t>
      </w:r>
      <w:r w:rsidR="00A07761" w:rsidRPr="00741FB5">
        <w:rPr>
          <w:rFonts w:ascii="Times New Roman" w:hAnsi="Times New Roman" w:cs="Times New Roman"/>
          <w:sz w:val="24"/>
          <w:szCs w:val="24"/>
        </w:rPr>
        <w:t xml:space="preserve">и </w:t>
      </w:r>
      <w:r w:rsidR="007037A6" w:rsidRPr="00741FB5">
        <w:rPr>
          <w:rFonts w:ascii="Times New Roman" w:hAnsi="Times New Roman" w:cs="Times New Roman"/>
          <w:sz w:val="24"/>
          <w:szCs w:val="24"/>
        </w:rPr>
        <w:t>у 93,3%</w:t>
      </w:r>
      <w:r w:rsidR="00A07761" w:rsidRPr="00741FB5">
        <w:rPr>
          <w:rFonts w:ascii="Times New Roman" w:hAnsi="Times New Roman" w:cs="Times New Roman"/>
          <w:sz w:val="24"/>
          <w:szCs w:val="24"/>
        </w:rPr>
        <w:t xml:space="preserve"> пациентов в группе 2. </w:t>
      </w:r>
      <w:r w:rsidR="007037A6" w:rsidRPr="00741FB5">
        <w:rPr>
          <w:rFonts w:ascii="Times New Roman" w:hAnsi="Times New Roman" w:cs="Times New Roman"/>
          <w:sz w:val="24"/>
          <w:szCs w:val="24"/>
        </w:rPr>
        <w:t>Скорость регресса лихорадки была выше в группе 1 – на 3-й день лечения нормализация т</w:t>
      </w:r>
      <w:r w:rsidR="00741FB5">
        <w:rPr>
          <w:rFonts w:ascii="Times New Roman" w:hAnsi="Times New Roman" w:cs="Times New Roman"/>
          <w:sz w:val="24"/>
          <w:szCs w:val="24"/>
        </w:rPr>
        <w:t>емпературы отмечалась у 36,6% и</w:t>
      </w:r>
      <w:r w:rsidR="007037A6" w:rsidRPr="00741FB5">
        <w:rPr>
          <w:rFonts w:ascii="Times New Roman" w:hAnsi="Times New Roman" w:cs="Times New Roman"/>
          <w:sz w:val="24"/>
          <w:szCs w:val="24"/>
        </w:rPr>
        <w:t xml:space="preserve"> 30% пациентов в группе сравнения</w:t>
      </w:r>
      <w:r w:rsidR="00F128E3" w:rsidRPr="00741FB5">
        <w:rPr>
          <w:rFonts w:ascii="Times New Roman" w:hAnsi="Times New Roman" w:cs="Times New Roman"/>
          <w:sz w:val="24"/>
          <w:szCs w:val="24"/>
        </w:rPr>
        <w:t>. Болевой синдром</w:t>
      </w:r>
      <w:r w:rsidR="00F83EEB">
        <w:rPr>
          <w:rFonts w:ascii="Times New Roman" w:hAnsi="Times New Roman" w:cs="Times New Roman"/>
          <w:sz w:val="24"/>
          <w:szCs w:val="24"/>
        </w:rPr>
        <w:t>, с</w:t>
      </w:r>
      <w:r w:rsidR="00F128E3" w:rsidRPr="001E507E">
        <w:rPr>
          <w:rFonts w:ascii="Times New Roman" w:hAnsi="Times New Roman" w:cs="Times New Roman"/>
          <w:sz w:val="24"/>
          <w:szCs w:val="24"/>
        </w:rPr>
        <w:t>имптомы опухания горла и трудности при глотании достоверно (</w:t>
      </w:r>
      <w:proofErr w:type="gramStart"/>
      <w:r w:rsidR="00F128E3" w:rsidRPr="001E507E">
        <w:rPr>
          <w:rFonts w:ascii="Times New Roman" w:hAnsi="Times New Roman" w:cs="Times New Roman"/>
          <w:sz w:val="24"/>
          <w:szCs w:val="24"/>
        </w:rPr>
        <w:t>р&lt;</w:t>
      </w:r>
      <w:proofErr w:type="gramEnd"/>
      <w:r w:rsidR="00F128E3" w:rsidRPr="001E507E">
        <w:rPr>
          <w:rFonts w:ascii="Times New Roman" w:hAnsi="Times New Roman" w:cs="Times New Roman"/>
          <w:sz w:val="24"/>
          <w:szCs w:val="24"/>
        </w:rPr>
        <w:t>0,01) регрессировали к 10-му дню у пациентов обеих групп лечения</w:t>
      </w:r>
      <w:r w:rsidR="005F0A43" w:rsidRPr="001E507E">
        <w:rPr>
          <w:rFonts w:ascii="Times New Roman" w:hAnsi="Times New Roman" w:cs="Times New Roman"/>
          <w:sz w:val="24"/>
          <w:szCs w:val="24"/>
        </w:rPr>
        <w:t xml:space="preserve">. </w:t>
      </w:r>
      <w:r w:rsidR="001E3EFE" w:rsidRPr="001E507E">
        <w:rPr>
          <w:rFonts w:ascii="Times New Roman" w:hAnsi="Times New Roman" w:cs="Times New Roman"/>
          <w:sz w:val="24"/>
          <w:szCs w:val="24"/>
        </w:rPr>
        <w:t xml:space="preserve">Частота развития нежелательных реакций на 10-ый день лечения в группе 1 составила </w:t>
      </w:r>
      <w:r w:rsidR="001E3EFE" w:rsidRPr="001E507E">
        <w:rPr>
          <w:rFonts w:ascii="Times New Roman" w:hAnsi="Times New Roman" w:cs="Times New Roman"/>
          <w:bCs/>
          <w:sz w:val="24"/>
          <w:szCs w:val="24"/>
        </w:rPr>
        <w:t>10%</w:t>
      </w:r>
      <w:r w:rsidR="001E3EFE" w:rsidRPr="001E507E">
        <w:rPr>
          <w:rFonts w:ascii="Times New Roman" w:hAnsi="Times New Roman" w:cs="Times New Roman"/>
          <w:sz w:val="24"/>
          <w:szCs w:val="24"/>
        </w:rPr>
        <w:t xml:space="preserve">, в группе 2 – </w:t>
      </w:r>
      <w:r w:rsidR="001E3EFE" w:rsidRPr="001E507E">
        <w:rPr>
          <w:rFonts w:ascii="Times New Roman" w:hAnsi="Times New Roman" w:cs="Times New Roman"/>
          <w:bCs/>
          <w:sz w:val="24"/>
          <w:szCs w:val="24"/>
        </w:rPr>
        <w:t>33,3%</w:t>
      </w:r>
      <w:r w:rsidR="00F128E3" w:rsidRPr="001E5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8E3" w:rsidRPr="001E507E">
        <w:rPr>
          <w:rFonts w:ascii="Times New Roman" w:hAnsi="Times New Roman" w:cs="Times New Roman"/>
          <w:bCs/>
          <w:sz w:val="24"/>
          <w:szCs w:val="24"/>
        </w:rPr>
        <w:t>(р=0,03).</w:t>
      </w:r>
    </w:p>
    <w:p w14:paraId="10C1E8B5" w14:textId="56050718" w:rsidR="001E507E" w:rsidRDefault="00FA17EB" w:rsidP="00585B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07E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1E507E">
        <w:rPr>
          <w:rFonts w:ascii="Times New Roman" w:hAnsi="Times New Roman" w:cs="Times New Roman"/>
          <w:sz w:val="24"/>
          <w:szCs w:val="24"/>
        </w:rPr>
        <w:t xml:space="preserve"> </w:t>
      </w:r>
      <w:r w:rsidR="001E507E">
        <w:rPr>
          <w:rFonts w:ascii="Times New Roman" w:hAnsi="Times New Roman" w:cs="Times New Roman"/>
          <w:sz w:val="24"/>
          <w:szCs w:val="24"/>
        </w:rPr>
        <w:t>п</w:t>
      </w:r>
      <w:r w:rsidR="00EF2442" w:rsidRPr="001E507E">
        <w:rPr>
          <w:rFonts w:ascii="Times New Roman" w:hAnsi="Times New Roman" w:cs="Times New Roman"/>
          <w:sz w:val="24"/>
          <w:szCs w:val="24"/>
        </w:rPr>
        <w:t xml:space="preserve">репарат Амоксициллин + Клавулановая кислота ЭКСПРЕСС </w:t>
      </w:r>
      <w:r w:rsidR="00A07761" w:rsidRPr="001E507E">
        <w:rPr>
          <w:rFonts w:ascii="Times New Roman" w:hAnsi="Times New Roman" w:cs="Times New Roman"/>
          <w:sz w:val="24"/>
          <w:szCs w:val="24"/>
        </w:rPr>
        <w:t xml:space="preserve">обладает </w:t>
      </w:r>
      <w:r w:rsidR="00EF2442" w:rsidRPr="001E507E">
        <w:rPr>
          <w:rFonts w:ascii="Times New Roman" w:hAnsi="Times New Roman" w:cs="Times New Roman"/>
          <w:sz w:val="24"/>
          <w:szCs w:val="24"/>
        </w:rPr>
        <w:t>высок</w:t>
      </w:r>
      <w:r w:rsidR="00A07761" w:rsidRPr="001E507E">
        <w:rPr>
          <w:rFonts w:ascii="Times New Roman" w:hAnsi="Times New Roman" w:cs="Times New Roman"/>
          <w:sz w:val="24"/>
          <w:szCs w:val="24"/>
        </w:rPr>
        <w:t>ой</w:t>
      </w:r>
      <w:r w:rsidR="00EF2442" w:rsidRPr="001E507E">
        <w:rPr>
          <w:rFonts w:ascii="Times New Roman" w:hAnsi="Times New Roman" w:cs="Times New Roman"/>
          <w:sz w:val="24"/>
          <w:szCs w:val="24"/>
        </w:rPr>
        <w:t xml:space="preserve"> </w:t>
      </w:r>
      <w:r w:rsidR="001E507E">
        <w:rPr>
          <w:rFonts w:ascii="Times New Roman" w:hAnsi="Times New Roman" w:cs="Times New Roman"/>
          <w:sz w:val="24"/>
          <w:szCs w:val="24"/>
        </w:rPr>
        <w:t xml:space="preserve">терапевтической </w:t>
      </w:r>
      <w:r w:rsidR="00EF2442" w:rsidRPr="001E507E">
        <w:rPr>
          <w:rFonts w:ascii="Times New Roman" w:hAnsi="Times New Roman" w:cs="Times New Roman"/>
          <w:sz w:val="24"/>
          <w:szCs w:val="24"/>
        </w:rPr>
        <w:t>эффективность</w:t>
      </w:r>
      <w:r w:rsidR="00A07761" w:rsidRPr="001E507E">
        <w:rPr>
          <w:rFonts w:ascii="Times New Roman" w:hAnsi="Times New Roman" w:cs="Times New Roman"/>
          <w:sz w:val="24"/>
          <w:szCs w:val="24"/>
        </w:rPr>
        <w:t>ю</w:t>
      </w:r>
      <w:r w:rsidR="001E507E">
        <w:rPr>
          <w:rFonts w:ascii="Times New Roman" w:hAnsi="Times New Roman" w:cs="Times New Roman"/>
          <w:sz w:val="24"/>
          <w:szCs w:val="24"/>
        </w:rPr>
        <w:t xml:space="preserve"> в лечении</w:t>
      </w:r>
      <w:r w:rsidR="00EF2442" w:rsidRPr="001E507E">
        <w:rPr>
          <w:rFonts w:ascii="Times New Roman" w:hAnsi="Times New Roman" w:cs="Times New Roman"/>
          <w:sz w:val="24"/>
          <w:szCs w:val="24"/>
        </w:rPr>
        <w:t xml:space="preserve"> острого стрептококкового тонзиллофарингита, сопоставим</w:t>
      </w:r>
      <w:r w:rsidR="00A07761" w:rsidRPr="001E507E">
        <w:rPr>
          <w:rFonts w:ascii="Times New Roman" w:hAnsi="Times New Roman" w:cs="Times New Roman"/>
          <w:sz w:val="24"/>
          <w:szCs w:val="24"/>
        </w:rPr>
        <w:t>ой</w:t>
      </w:r>
      <w:r w:rsidR="001E507E">
        <w:rPr>
          <w:rFonts w:ascii="Times New Roman" w:hAnsi="Times New Roman" w:cs="Times New Roman"/>
          <w:sz w:val="24"/>
          <w:szCs w:val="24"/>
        </w:rPr>
        <w:t xml:space="preserve"> с препаратом Амоксиклав в таблетках</w:t>
      </w:r>
      <w:r w:rsidR="00EF2442" w:rsidRPr="001E507E">
        <w:rPr>
          <w:rFonts w:ascii="Times New Roman" w:hAnsi="Times New Roman" w:cs="Times New Roman"/>
          <w:sz w:val="24"/>
          <w:szCs w:val="24"/>
        </w:rPr>
        <w:t xml:space="preserve">, </w:t>
      </w:r>
      <w:r w:rsidR="001E507E">
        <w:rPr>
          <w:rFonts w:ascii="Times New Roman" w:hAnsi="Times New Roman" w:cs="Times New Roman"/>
          <w:sz w:val="24"/>
          <w:szCs w:val="24"/>
        </w:rPr>
        <w:t>покрытых</w:t>
      </w:r>
      <w:r w:rsidR="00EF2442" w:rsidRPr="001E507E">
        <w:rPr>
          <w:rFonts w:ascii="Times New Roman" w:hAnsi="Times New Roman" w:cs="Times New Roman"/>
          <w:sz w:val="24"/>
          <w:szCs w:val="24"/>
        </w:rPr>
        <w:t xml:space="preserve"> оболочкой. При этом </w:t>
      </w:r>
      <w:r w:rsidR="001E507E">
        <w:rPr>
          <w:rFonts w:ascii="Times New Roman" w:hAnsi="Times New Roman" w:cs="Times New Roman"/>
          <w:sz w:val="24"/>
          <w:szCs w:val="24"/>
        </w:rPr>
        <w:t xml:space="preserve">диспергируемые таблетки </w:t>
      </w:r>
      <w:r w:rsidR="00EF2442" w:rsidRPr="001E507E">
        <w:rPr>
          <w:rFonts w:ascii="Times New Roman" w:hAnsi="Times New Roman" w:cs="Times New Roman"/>
          <w:sz w:val="24"/>
          <w:szCs w:val="24"/>
        </w:rPr>
        <w:t>Амоксициллин</w:t>
      </w:r>
      <w:r w:rsidR="001E507E">
        <w:rPr>
          <w:rFonts w:ascii="Times New Roman" w:hAnsi="Times New Roman" w:cs="Times New Roman"/>
          <w:sz w:val="24"/>
          <w:szCs w:val="24"/>
        </w:rPr>
        <w:t>а + Клавулановой кислоты</w:t>
      </w:r>
      <w:r w:rsidR="00EF2442" w:rsidRPr="001E507E">
        <w:rPr>
          <w:rFonts w:ascii="Times New Roman" w:hAnsi="Times New Roman" w:cs="Times New Roman"/>
          <w:sz w:val="24"/>
          <w:szCs w:val="24"/>
        </w:rPr>
        <w:t xml:space="preserve"> ЭКСПРЕСС </w:t>
      </w:r>
      <w:r w:rsidR="008B3143" w:rsidRPr="001E507E">
        <w:rPr>
          <w:rFonts w:ascii="Times New Roman" w:hAnsi="Times New Roman" w:cs="Times New Roman"/>
          <w:sz w:val="24"/>
          <w:szCs w:val="24"/>
        </w:rPr>
        <w:t xml:space="preserve">продемонстрировал достоверно </w:t>
      </w:r>
      <w:r w:rsidR="00EF2442" w:rsidRPr="001E507E">
        <w:rPr>
          <w:rFonts w:ascii="Times New Roman" w:hAnsi="Times New Roman" w:cs="Times New Roman"/>
          <w:sz w:val="24"/>
          <w:szCs w:val="24"/>
        </w:rPr>
        <w:t xml:space="preserve">более высокий профиль безопасности по сравнению с </w:t>
      </w:r>
      <w:r w:rsidR="001E507E">
        <w:rPr>
          <w:rFonts w:ascii="Times New Roman" w:hAnsi="Times New Roman" w:cs="Times New Roman"/>
          <w:sz w:val="24"/>
          <w:szCs w:val="24"/>
        </w:rPr>
        <w:t>простой таблетированной формой</w:t>
      </w:r>
      <w:r w:rsidRPr="001E507E">
        <w:rPr>
          <w:rFonts w:ascii="Times New Roman" w:hAnsi="Times New Roman" w:cs="Times New Roman"/>
          <w:sz w:val="24"/>
          <w:szCs w:val="24"/>
        </w:rPr>
        <w:t>.</w:t>
      </w:r>
    </w:p>
    <w:p w14:paraId="19EE0188" w14:textId="77777777" w:rsidR="00585B8A" w:rsidRPr="00585B8A" w:rsidRDefault="00585B8A" w:rsidP="00585B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34AB3" w14:textId="175E1E6D" w:rsidR="00A25A85" w:rsidRPr="001E507E" w:rsidRDefault="00EF2442" w:rsidP="001E50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07E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1E507E">
        <w:rPr>
          <w:rFonts w:ascii="Times New Roman" w:hAnsi="Times New Roman" w:cs="Times New Roman"/>
          <w:sz w:val="24"/>
          <w:szCs w:val="24"/>
        </w:rPr>
        <w:t xml:space="preserve"> острый тонзиллофарингит, β-гемолитический стрептококк группы А, антибактериальная терапия</w:t>
      </w:r>
      <w:r w:rsidR="00FA17EB" w:rsidRPr="001E507E">
        <w:rPr>
          <w:rFonts w:ascii="Times New Roman" w:hAnsi="Times New Roman" w:cs="Times New Roman"/>
          <w:sz w:val="24"/>
          <w:szCs w:val="24"/>
        </w:rPr>
        <w:t>, Амоксициллин + Клавулановая кислота</w:t>
      </w:r>
      <w:r w:rsidRPr="001E507E">
        <w:rPr>
          <w:rFonts w:ascii="Times New Roman" w:hAnsi="Times New Roman" w:cs="Times New Roman"/>
          <w:sz w:val="24"/>
          <w:szCs w:val="24"/>
        </w:rPr>
        <w:t>.</w:t>
      </w:r>
    </w:p>
    <w:p w14:paraId="46F65967" w14:textId="0A4071E3" w:rsidR="00B775D7" w:rsidRPr="001E507E" w:rsidRDefault="00B775D7" w:rsidP="001E507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507E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14:paraId="29C4F50B" w14:textId="264CBD96" w:rsidR="00585B8A" w:rsidRPr="00585B8A" w:rsidRDefault="00585B8A" w:rsidP="00585B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5B8A">
        <w:rPr>
          <w:rFonts w:ascii="Times New Roman" w:hAnsi="Times New Roman" w:cs="Times New Roman"/>
          <w:b/>
          <w:sz w:val="24"/>
          <w:szCs w:val="24"/>
          <w:lang w:val="en-US"/>
        </w:rPr>
        <w:t>Introduction: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585B8A">
        <w:rPr>
          <w:rFonts w:ascii="Times New Roman" w:hAnsi="Times New Roman" w:cs="Times New Roman"/>
          <w:sz w:val="24"/>
          <w:szCs w:val="24"/>
          <w:lang w:val="en-US"/>
        </w:rPr>
        <w:t xml:space="preserve">cute tonsillopharyngitis is one of the most common types of respiratory tract infections. In case of bacterial etiologies of the disease, penicillin antibiotics </w:t>
      </w:r>
      <w:proofErr w:type="gramStart"/>
      <w:r w:rsidRPr="00585B8A">
        <w:rPr>
          <w:rFonts w:ascii="Times New Roman" w:hAnsi="Times New Roman" w:cs="Times New Roman"/>
          <w:sz w:val="24"/>
          <w:szCs w:val="24"/>
          <w:lang w:val="en-US"/>
        </w:rPr>
        <w:t>are prescribed</w:t>
      </w:r>
      <w:proofErr w:type="gramEnd"/>
      <w:r w:rsidRPr="00585B8A">
        <w:rPr>
          <w:rFonts w:ascii="Times New Roman" w:hAnsi="Times New Roman" w:cs="Times New Roman"/>
          <w:sz w:val="24"/>
          <w:szCs w:val="24"/>
          <w:lang w:val="en-US"/>
        </w:rPr>
        <w:t xml:space="preserve">, in particular amoxicillin + clavulanic acid. Dispersible forms of antibiotics have a number of advantages over film-coated tablets and </w:t>
      </w:r>
      <w:proofErr w:type="gramStart"/>
      <w:r w:rsidRPr="00585B8A">
        <w:rPr>
          <w:rFonts w:ascii="Times New Roman" w:hAnsi="Times New Roman" w:cs="Times New Roman"/>
          <w:sz w:val="24"/>
          <w:szCs w:val="24"/>
          <w:lang w:val="en-US"/>
        </w:rPr>
        <w:t>are characterized</w:t>
      </w:r>
      <w:proofErr w:type="gramEnd"/>
      <w:r w:rsidRPr="00585B8A">
        <w:rPr>
          <w:rFonts w:ascii="Times New Roman" w:hAnsi="Times New Roman" w:cs="Times New Roman"/>
          <w:sz w:val="24"/>
          <w:szCs w:val="24"/>
          <w:lang w:val="en-US"/>
        </w:rPr>
        <w:t xml:space="preserve"> by better pharmacokinetic parameters that increase the effectiveness and safety of treatment, as well as patient compliance.</w:t>
      </w:r>
    </w:p>
    <w:p w14:paraId="7132EA5E" w14:textId="03F9833D" w:rsidR="00B775D7" w:rsidRPr="001E507E" w:rsidRDefault="00585B8A" w:rsidP="00585B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5B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Purpose: </w:t>
      </w:r>
      <w:r w:rsidRPr="00585B8A">
        <w:rPr>
          <w:rFonts w:ascii="Times New Roman" w:hAnsi="Times New Roman" w:cs="Times New Roman"/>
          <w:sz w:val="24"/>
          <w:szCs w:val="24"/>
          <w:lang w:val="en-US"/>
        </w:rPr>
        <w:t>to compare the effectiveness and safety of Amoxicillin + Clavulanic acid EXPRESS in the form of dispersible tablets and amoxicillin with clavulanic acid in film-coated tablets in the treatment of acute streptococcal tonsillopharyngitis.</w:t>
      </w:r>
    </w:p>
    <w:p w14:paraId="655DB50E" w14:textId="1A4FDF79" w:rsidR="00B775D7" w:rsidRPr="001E507E" w:rsidRDefault="00B775D7" w:rsidP="001E50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0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Material and methods: </w:t>
      </w:r>
      <w:r w:rsidR="001E507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E507E">
        <w:rPr>
          <w:rFonts w:ascii="Times New Roman" w:hAnsi="Times New Roman" w:cs="Times New Roman"/>
          <w:sz w:val="24"/>
          <w:szCs w:val="24"/>
          <w:lang w:val="en-US"/>
        </w:rPr>
        <w:t xml:space="preserve"> randomized comparative clinical study involved 60 adult patients diagnosed with acute streptococcal tonsillopharyngitis. Group 1 (n=30) received the Amoxicillin + Clavulanic acid EXPRESS, dispersible tablets, 875 mg + 125 mg 2 times a day at the beginning of meals. Group </w:t>
      </w:r>
      <w:proofErr w:type="gramStart"/>
      <w:r w:rsidRPr="001E507E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End"/>
      <w:r w:rsidRPr="001E507E">
        <w:rPr>
          <w:rFonts w:ascii="Times New Roman" w:hAnsi="Times New Roman" w:cs="Times New Roman"/>
          <w:sz w:val="24"/>
          <w:szCs w:val="24"/>
          <w:lang w:val="en-US"/>
        </w:rPr>
        <w:t xml:space="preserve"> (n=30) received Amoxiclav, film-coated tablets, 875 mg + 125 mg 2 times a day at the beginning of meals. The duration of the treatment </w:t>
      </w:r>
      <w:r w:rsidR="008753F2" w:rsidRPr="001E507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1E507E">
        <w:rPr>
          <w:rFonts w:ascii="Times New Roman" w:hAnsi="Times New Roman" w:cs="Times New Roman"/>
          <w:sz w:val="24"/>
          <w:szCs w:val="24"/>
          <w:lang w:val="en-US"/>
        </w:rPr>
        <w:t xml:space="preserve"> 10 days. </w:t>
      </w:r>
      <w:proofErr w:type="gramStart"/>
      <w:r w:rsidR="008753F2" w:rsidRPr="001E507E">
        <w:rPr>
          <w:rFonts w:ascii="Times New Roman" w:hAnsi="Times New Roman" w:cs="Times New Roman"/>
          <w:sz w:val="24"/>
          <w:szCs w:val="24"/>
          <w:lang w:val="en-US"/>
        </w:rPr>
        <w:t>The following procedures were performed to all participants:</w:t>
      </w:r>
      <w:r w:rsidRPr="001E507E">
        <w:rPr>
          <w:rFonts w:ascii="Times New Roman" w:hAnsi="Times New Roman" w:cs="Times New Roman"/>
          <w:sz w:val="24"/>
          <w:szCs w:val="24"/>
          <w:lang w:val="en-US"/>
        </w:rPr>
        <w:t xml:space="preserve"> general clinical and </w:t>
      </w:r>
      <w:proofErr w:type="spellStart"/>
      <w:r w:rsidRPr="001E507E">
        <w:rPr>
          <w:rFonts w:ascii="Times New Roman" w:hAnsi="Times New Roman" w:cs="Times New Roman"/>
          <w:sz w:val="24"/>
          <w:szCs w:val="24"/>
          <w:lang w:val="en-US"/>
        </w:rPr>
        <w:t>otorhin</w:t>
      </w:r>
      <w:r w:rsidR="00F52C40">
        <w:rPr>
          <w:rFonts w:ascii="Times New Roman" w:hAnsi="Times New Roman" w:cs="Times New Roman"/>
          <w:sz w:val="24"/>
          <w:szCs w:val="24"/>
          <w:lang w:val="en-US"/>
        </w:rPr>
        <w:t>olaryngological</w:t>
      </w:r>
      <w:proofErr w:type="spellEnd"/>
      <w:r w:rsidR="00F52C40">
        <w:rPr>
          <w:rFonts w:ascii="Times New Roman" w:hAnsi="Times New Roman" w:cs="Times New Roman"/>
          <w:sz w:val="24"/>
          <w:szCs w:val="24"/>
          <w:lang w:val="en-US"/>
        </w:rPr>
        <w:t xml:space="preserve"> examinations, an express </w:t>
      </w:r>
      <w:r w:rsidRPr="001E507E">
        <w:rPr>
          <w:rFonts w:ascii="Times New Roman" w:hAnsi="Times New Roman" w:cs="Times New Roman"/>
          <w:sz w:val="24"/>
          <w:szCs w:val="24"/>
          <w:lang w:val="en-US"/>
        </w:rPr>
        <w:t>test to detect group A streptococcal antigens in a smear from the posterior pharyngeal wall (strept</w:t>
      </w:r>
      <w:r w:rsidR="008753F2" w:rsidRPr="001E507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E507E">
        <w:rPr>
          <w:rFonts w:ascii="Times New Roman" w:hAnsi="Times New Roman" w:cs="Times New Roman"/>
          <w:sz w:val="24"/>
          <w:szCs w:val="24"/>
          <w:lang w:val="en-US"/>
        </w:rPr>
        <w:t>test), assessment of symptoms of acu</w:t>
      </w:r>
      <w:r w:rsidR="00414A22">
        <w:rPr>
          <w:rFonts w:ascii="Times New Roman" w:hAnsi="Times New Roman" w:cs="Times New Roman"/>
          <w:sz w:val="24"/>
          <w:szCs w:val="24"/>
          <w:lang w:val="en-US"/>
        </w:rPr>
        <w:t xml:space="preserve">te </w:t>
      </w:r>
      <w:proofErr w:type="spellStart"/>
      <w:r w:rsidR="00414A22">
        <w:rPr>
          <w:rFonts w:ascii="Times New Roman" w:hAnsi="Times New Roman" w:cs="Times New Roman"/>
          <w:sz w:val="24"/>
          <w:szCs w:val="24"/>
          <w:lang w:val="en-US"/>
        </w:rPr>
        <w:t>tonsillopharyngitis</w:t>
      </w:r>
      <w:proofErr w:type="spellEnd"/>
      <w:r w:rsidR="00414A22">
        <w:rPr>
          <w:rFonts w:ascii="Times New Roman" w:hAnsi="Times New Roman" w:cs="Times New Roman"/>
          <w:sz w:val="24"/>
          <w:szCs w:val="24"/>
          <w:lang w:val="en-US"/>
        </w:rPr>
        <w:t xml:space="preserve"> on the </w:t>
      </w:r>
      <w:proofErr w:type="spellStart"/>
      <w:r w:rsidR="00414A2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E507E">
        <w:rPr>
          <w:rFonts w:ascii="Times New Roman" w:hAnsi="Times New Roman" w:cs="Times New Roman"/>
          <w:sz w:val="24"/>
          <w:szCs w:val="24"/>
          <w:lang w:val="en-US"/>
        </w:rPr>
        <w:t>cIsaac</w:t>
      </w:r>
      <w:proofErr w:type="spellEnd"/>
      <w:r w:rsidRPr="001E507E">
        <w:rPr>
          <w:rFonts w:ascii="Times New Roman" w:hAnsi="Times New Roman" w:cs="Times New Roman"/>
          <w:sz w:val="24"/>
          <w:szCs w:val="24"/>
          <w:lang w:val="en-US"/>
        </w:rPr>
        <w:t xml:space="preserve"> scale, severity</w:t>
      </w:r>
      <w:r w:rsidR="00F52C40">
        <w:rPr>
          <w:rFonts w:ascii="Times New Roman" w:hAnsi="Times New Roman" w:cs="Times New Roman"/>
          <w:sz w:val="24"/>
          <w:szCs w:val="24"/>
          <w:lang w:val="en-US"/>
        </w:rPr>
        <w:t xml:space="preserve"> of sore throat, difficulty swallowing, swelling of the throat</w:t>
      </w:r>
      <w:r w:rsidRPr="001E507E">
        <w:rPr>
          <w:rFonts w:ascii="Times New Roman" w:hAnsi="Times New Roman" w:cs="Times New Roman"/>
          <w:sz w:val="24"/>
          <w:szCs w:val="24"/>
          <w:lang w:val="en-US"/>
        </w:rPr>
        <w:t>, measurement of body temperature, assessment of the clinical global i</w:t>
      </w:r>
      <w:r w:rsidR="00F52C40">
        <w:rPr>
          <w:rFonts w:ascii="Times New Roman" w:hAnsi="Times New Roman" w:cs="Times New Roman"/>
          <w:sz w:val="24"/>
          <w:szCs w:val="24"/>
          <w:lang w:val="en-US"/>
        </w:rPr>
        <w:t>mpression of the therapy</w:t>
      </w:r>
      <w:r w:rsidRPr="001E507E">
        <w:rPr>
          <w:rFonts w:ascii="Times New Roman" w:hAnsi="Times New Roman" w:cs="Times New Roman"/>
          <w:sz w:val="24"/>
          <w:szCs w:val="24"/>
          <w:lang w:val="en-US"/>
        </w:rPr>
        <w:t>, adherence to treatment, frequency of</w:t>
      </w:r>
      <w:r w:rsidR="008753F2" w:rsidRPr="001E507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1E507E">
        <w:rPr>
          <w:rFonts w:ascii="Times New Roman" w:hAnsi="Times New Roman" w:cs="Times New Roman"/>
          <w:sz w:val="24"/>
          <w:szCs w:val="24"/>
          <w:lang w:val="en-US"/>
        </w:rPr>
        <w:t xml:space="preserve"> adverse reactions</w:t>
      </w:r>
      <w:r w:rsidR="00585B8A" w:rsidRPr="00585B8A">
        <w:rPr>
          <w:rFonts w:ascii="Times New Roman" w:hAnsi="Times New Roman" w:cs="Times New Roman"/>
          <w:sz w:val="24"/>
          <w:szCs w:val="24"/>
          <w:lang w:val="en-US"/>
        </w:rPr>
        <w:t xml:space="preserve"> before treatment, 3 days after the </w:t>
      </w:r>
      <w:r w:rsidR="00585B8A">
        <w:rPr>
          <w:rFonts w:ascii="Times New Roman" w:hAnsi="Times New Roman" w:cs="Times New Roman"/>
          <w:sz w:val="24"/>
          <w:szCs w:val="24"/>
          <w:lang w:val="en-US"/>
        </w:rPr>
        <w:t>beginning of</w:t>
      </w:r>
      <w:r w:rsidR="00585B8A" w:rsidRPr="00585B8A">
        <w:rPr>
          <w:rFonts w:ascii="Times New Roman" w:hAnsi="Times New Roman" w:cs="Times New Roman"/>
          <w:sz w:val="24"/>
          <w:szCs w:val="24"/>
          <w:lang w:val="en-US"/>
        </w:rPr>
        <w:t xml:space="preserve"> therapy and after the course completion (day 10)</w:t>
      </w:r>
      <w:r w:rsidRPr="001E507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14:paraId="3487604D" w14:textId="17C56109" w:rsidR="00C27B85" w:rsidRPr="001E507E" w:rsidRDefault="00C27B85" w:rsidP="001E50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07E">
        <w:rPr>
          <w:rFonts w:ascii="Times New Roman" w:hAnsi="Times New Roman" w:cs="Times New Roman"/>
          <w:b/>
          <w:sz w:val="24"/>
          <w:szCs w:val="24"/>
          <w:lang w:val="en-US"/>
        </w:rPr>
        <w:t>Results:</w:t>
      </w:r>
      <w:r w:rsidRPr="001E5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5B8A" w:rsidRPr="00585B8A">
        <w:rPr>
          <w:rFonts w:ascii="Times New Roman" w:hAnsi="Times New Roman" w:cs="Times New Roman"/>
          <w:sz w:val="24"/>
          <w:szCs w:val="24"/>
          <w:lang w:val="en-US"/>
        </w:rPr>
        <w:t xml:space="preserve">recovery occurred in 96.6% of patients </w:t>
      </w:r>
      <w:proofErr w:type="gramStart"/>
      <w:r w:rsidR="00585B8A" w:rsidRPr="00585B8A">
        <w:rPr>
          <w:rFonts w:ascii="Times New Roman" w:hAnsi="Times New Roman" w:cs="Times New Roman"/>
          <w:sz w:val="24"/>
          <w:szCs w:val="24"/>
          <w:lang w:val="en-US"/>
        </w:rPr>
        <w:t>in group</w:t>
      </w:r>
      <w:proofErr w:type="gramEnd"/>
      <w:r w:rsidR="00585B8A" w:rsidRPr="00585B8A">
        <w:rPr>
          <w:rFonts w:ascii="Times New Roman" w:hAnsi="Times New Roman" w:cs="Times New Roman"/>
          <w:sz w:val="24"/>
          <w:szCs w:val="24"/>
          <w:lang w:val="en-US"/>
        </w:rPr>
        <w:t xml:space="preserve"> 1 according to examination on the 10th day of treatment and in 93.3% of patients in group 2. The rate of fever regression was higher </w:t>
      </w:r>
      <w:proofErr w:type="gramStart"/>
      <w:r w:rsidR="00585B8A" w:rsidRPr="00585B8A">
        <w:rPr>
          <w:rFonts w:ascii="Times New Roman" w:hAnsi="Times New Roman" w:cs="Times New Roman"/>
          <w:sz w:val="24"/>
          <w:szCs w:val="24"/>
          <w:lang w:val="en-US"/>
        </w:rPr>
        <w:t>in group</w:t>
      </w:r>
      <w:proofErr w:type="gramEnd"/>
      <w:r w:rsidR="00585B8A" w:rsidRPr="00585B8A">
        <w:rPr>
          <w:rFonts w:ascii="Times New Roman" w:hAnsi="Times New Roman" w:cs="Times New Roman"/>
          <w:sz w:val="24"/>
          <w:szCs w:val="24"/>
          <w:lang w:val="en-US"/>
        </w:rPr>
        <w:t xml:space="preserve"> 1 - on the 3rd day of treatment, normalization of temperature was observed in 36.6% and 30% of patients in the comparison group. Pain syndrome, symptoms of throat swelling and difficulty swallowing significantly (p&lt;0.01) regressed by the 10th day in patients of both treatment </w:t>
      </w:r>
      <w:r w:rsidR="00585B8A" w:rsidRPr="00585B8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groups. The incidence of adverse reactions on the 10th day of treatment </w:t>
      </w:r>
      <w:proofErr w:type="gramStart"/>
      <w:r w:rsidR="00585B8A" w:rsidRPr="00585B8A">
        <w:rPr>
          <w:rFonts w:ascii="Times New Roman" w:hAnsi="Times New Roman" w:cs="Times New Roman"/>
          <w:sz w:val="24"/>
          <w:szCs w:val="24"/>
          <w:lang w:val="en-US"/>
        </w:rPr>
        <w:t>in group</w:t>
      </w:r>
      <w:proofErr w:type="gramEnd"/>
      <w:r w:rsidR="00585B8A" w:rsidRPr="00585B8A">
        <w:rPr>
          <w:rFonts w:ascii="Times New Roman" w:hAnsi="Times New Roman" w:cs="Times New Roman"/>
          <w:sz w:val="24"/>
          <w:szCs w:val="24"/>
          <w:lang w:val="en-US"/>
        </w:rPr>
        <w:t xml:space="preserve"> 1 was 10%</w:t>
      </w:r>
      <w:r w:rsidR="00585B8A">
        <w:rPr>
          <w:rFonts w:ascii="Times New Roman" w:hAnsi="Times New Roman" w:cs="Times New Roman"/>
          <w:sz w:val="24"/>
          <w:szCs w:val="24"/>
          <w:lang w:val="en-US"/>
        </w:rPr>
        <w:t>, in group 2 – 33.3% (p = 0.03)</w:t>
      </w:r>
      <w:r w:rsidRPr="001E50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8C53FD" w14:textId="79C660B2" w:rsidR="008753F2" w:rsidRPr="001E507E" w:rsidRDefault="008753F2" w:rsidP="001E50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2C40">
        <w:rPr>
          <w:rFonts w:ascii="Times New Roman" w:hAnsi="Times New Roman" w:cs="Times New Roman"/>
          <w:b/>
          <w:sz w:val="24"/>
          <w:szCs w:val="24"/>
          <w:lang w:val="en-US"/>
        </w:rPr>
        <w:t>Conclusion:</w:t>
      </w:r>
      <w:r w:rsidRPr="001E5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5B8A" w:rsidRPr="00585B8A">
        <w:rPr>
          <w:rFonts w:ascii="Times New Roman" w:hAnsi="Times New Roman" w:cs="Times New Roman"/>
          <w:sz w:val="24"/>
          <w:szCs w:val="24"/>
          <w:lang w:val="en-US"/>
        </w:rPr>
        <w:t>Amoxicillin + Clavulanic acid EXPRESS has high therapeutic efficacy in the treatment of acute streptococcal tonsillopharyngitis, comparable to the Amoxiclav in film-coated tablets. At the same time, dispersible tablets of Amoxicillin + Clavulanic acid EXPRESS demonstrated a significantly higher safety profile com</w:t>
      </w:r>
      <w:r w:rsidR="00585B8A">
        <w:rPr>
          <w:rFonts w:ascii="Times New Roman" w:hAnsi="Times New Roman" w:cs="Times New Roman"/>
          <w:sz w:val="24"/>
          <w:szCs w:val="24"/>
          <w:lang w:val="en-US"/>
        </w:rPr>
        <w:t>pared to the simple tablet form</w:t>
      </w:r>
      <w:r w:rsidRPr="001E50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24E115" w14:textId="77777777" w:rsidR="001E507E" w:rsidRDefault="001E507E" w:rsidP="001E507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F3BCA4" w14:textId="7B3555AE" w:rsidR="00B775D7" w:rsidRPr="001E507E" w:rsidRDefault="00B775D7" w:rsidP="001E50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07E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  <w:r w:rsidRPr="001E507E">
        <w:rPr>
          <w:rFonts w:ascii="Times New Roman" w:hAnsi="Times New Roman" w:cs="Times New Roman"/>
          <w:sz w:val="24"/>
          <w:szCs w:val="24"/>
          <w:lang w:val="en-US"/>
        </w:rPr>
        <w:t xml:space="preserve"> acute tonsillopharyngitis, group </w:t>
      </w:r>
      <w:proofErr w:type="gramStart"/>
      <w:r w:rsidRPr="001E507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E5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07E">
        <w:rPr>
          <w:rFonts w:ascii="Times New Roman" w:hAnsi="Times New Roman" w:cs="Times New Roman"/>
          <w:sz w:val="24"/>
          <w:szCs w:val="24"/>
        </w:rPr>
        <w:t>β</w:t>
      </w:r>
      <w:r w:rsidRPr="001E507E">
        <w:rPr>
          <w:rFonts w:ascii="Times New Roman" w:hAnsi="Times New Roman" w:cs="Times New Roman"/>
          <w:sz w:val="24"/>
          <w:szCs w:val="24"/>
          <w:lang w:val="en-US"/>
        </w:rPr>
        <w:t>-hemolytic streptococcus, antibacterial therapy, Amoxicillin + Clavulanic acid.</w:t>
      </w:r>
    </w:p>
    <w:p w14:paraId="594CF475" w14:textId="4705957D" w:rsidR="00FC663B" w:rsidRPr="00C61089" w:rsidRDefault="00A25A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089">
        <w:rPr>
          <w:rFonts w:ascii="Times New Roman" w:hAnsi="Times New Roman" w:cs="Times New Roman"/>
          <w:b/>
          <w:bCs/>
          <w:sz w:val="24"/>
          <w:szCs w:val="24"/>
        </w:rPr>
        <w:t>Введение:</w:t>
      </w:r>
      <w:r w:rsidRPr="00C61089">
        <w:rPr>
          <w:rFonts w:ascii="Times New Roman" w:hAnsi="Times New Roman" w:cs="Times New Roman"/>
          <w:sz w:val="24"/>
          <w:szCs w:val="24"/>
        </w:rPr>
        <w:t xml:space="preserve"> </w:t>
      </w:r>
      <w:r w:rsidR="00FC663B" w:rsidRPr="00C61089">
        <w:rPr>
          <w:rFonts w:ascii="Times New Roman" w:hAnsi="Times New Roman" w:cs="Times New Roman"/>
          <w:sz w:val="24"/>
          <w:szCs w:val="24"/>
        </w:rPr>
        <w:t xml:space="preserve">Острый тонзиллофарингит </w:t>
      </w:r>
      <w:r w:rsidR="00623430" w:rsidRPr="00C61089">
        <w:rPr>
          <w:rFonts w:ascii="Times New Roman" w:hAnsi="Times New Roman" w:cs="Times New Roman"/>
          <w:sz w:val="24"/>
          <w:szCs w:val="24"/>
        </w:rPr>
        <w:t xml:space="preserve">(ОТФ) </w:t>
      </w:r>
      <w:r w:rsidR="00FC663B" w:rsidRPr="00C61089">
        <w:rPr>
          <w:rFonts w:ascii="Times New Roman" w:hAnsi="Times New Roman" w:cs="Times New Roman"/>
          <w:sz w:val="24"/>
          <w:szCs w:val="24"/>
        </w:rPr>
        <w:t xml:space="preserve">является одним из наиболее распространенных </w:t>
      </w:r>
      <w:r w:rsidR="00623430" w:rsidRPr="00C61089">
        <w:rPr>
          <w:rFonts w:ascii="Times New Roman" w:hAnsi="Times New Roman" w:cs="Times New Roman"/>
          <w:sz w:val="24"/>
          <w:szCs w:val="24"/>
        </w:rPr>
        <w:t xml:space="preserve">типов </w:t>
      </w:r>
      <w:r w:rsidR="00FC663B" w:rsidRPr="00C61089">
        <w:rPr>
          <w:rFonts w:ascii="Times New Roman" w:hAnsi="Times New Roman" w:cs="Times New Roman"/>
          <w:sz w:val="24"/>
          <w:szCs w:val="24"/>
        </w:rPr>
        <w:t xml:space="preserve">инфекций дыхательных путей. Чаще </w:t>
      </w:r>
      <w:r w:rsidR="00623430" w:rsidRPr="00C61089">
        <w:rPr>
          <w:rFonts w:ascii="Times New Roman" w:hAnsi="Times New Roman" w:cs="Times New Roman"/>
          <w:sz w:val="24"/>
          <w:szCs w:val="24"/>
        </w:rPr>
        <w:t>ОТФ</w:t>
      </w:r>
      <w:r w:rsidR="00FC663B" w:rsidRPr="00C61089">
        <w:rPr>
          <w:rFonts w:ascii="Times New Roman" w:hAnsi="Times New Roman" w:cs="Times New Roman"/>
          <w:sz w:val="24"/>
          <w:szCs w:val="24"/>
        </w:rPr>
        <w:t xml:space="preserve"> имеет вирусную этиологию</w:t>
      </w:r>
      <w:r w:rsidR="0046303F" w:rsidRPr="00C61089">
        <w:rPr>
          <w:rFonts w:ascii="Times New Roman" w:hAnsi="Times New Roman" w:cs="Times New Roman"/>
          <w:sz w:val="24"/>
          <w:szCs w:val="24"/>
        </w:rPr>
        <w:t xml:space="preserve">. Бактериальный возбудитель выявляется </w:t>
      </w:r>
      <w:r w:rsidR="00FC663B" w:rsidRPr="00C61089">
        <w:rPr>
          <w:rFonts w:ascii="Times New Roman" w:hAnsi="Times New Roman" w:cs="Times New Roman"/>
          <w:sz w:val="24"/>
          <w:szCs w:val="24"/>
        </w:rPr>
        <w:t>в 5–17% случаев</w:t>
      </w:r>
      <w:r w:rsidR="00FA17EB" w:rsidRPr="00C61089">
        <w:rPr>
          <w:rFonts w:ascii="Times New Roman" w:hAnsi="Times New Roman" w:cs="Times New Roman"/>
          <w:sz w:val="24"/>
          <w:szCs w:val="24"/>
        </w:rPr>
        <w:t>,</w:t>
      </w:r>
      <w:r w:rsidR="00FC663B" w:rsidRPr="00C61089">
        <w:rPr>
          <w:rFonts w:ascii="Times New Roman" w:hAnsi="Times New Roman" w:cs="Times New Roman"/>
          <w:sz w:val="24"/>
          <w:szCs w:val="24"/>
        </w:rPr>
        <w:t xml:space="preserve"> </w:t>
      </w:r>
      <w:r w:rsidR="0046303F" w:rsidRPr="00C61089">
        <w:rPr>
          <w:rFonts w:ascii="Times New Roman" w:hAnsi="Times New Roman" w:cs="Times New Roman"/>
          <w:sz w:val="24"/>
          <w:szCs w:val="24"/>
        </w:rPr>
        <w:t>при этом чаще всего встречается</w:t>
      </w:r>
      <w:r w:rsidR="00FC663B" w:rsidRPr="00C6108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5965127"/>
      <w:r w:rsidR="00FC663B" w:rsidRPr="00C61089">
        <w:rPr>
          <w:rFonts w:ascii="Times New Roman" w:hAnsi="Times New Roman" w:cs="Times New Roman"/>
          <w:sz w:val="24"/>
          <w:szCs w:val="24"/>
        </w:rPr>
        <w:t>β-гемолитический стрептококк группы А</w:t>
      </w:r>
      <w:r w:rsidR="0046303F" w:rsidRPr="00C6108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44BCC" w:rsidRPr="00C61089">
        <w:rPr>
          <w:rFonts w:ascii="Times New Roman" w:hAnsi="Times New Roman" w:cs="Times New Roman"/>
          <w:sz w:val="24"/>
          <w:szCs w:val="24"/>
        </w:rPr>
        <w:t>[</w:t>
      </w:r>
      <w:r w:rsidR="00C90054" w:rsidRPr="00C61089">
        <w:rPr>
          <w:rFonts w:ascii="Times New Roman" w:hAnsi="Times New Roman" w:cs="Times New Roman"/>
          <w:sz w:val="24"/>
          <w:szCs w:val="24"/>
        </w:rPr>
        <w:t>1</w:t>
      </w:r>
      <w:r w:rsidR="00744BCC" w:rsidRPr="00C61089">
        <w:rPr>
          <w:rFonts w:ascii="Times New Roman" w:hAnsi="Times New Roman" w:cs="Times New Roman"/>
          <w:sz w:val="24"/>
          <w:szCs w:val="24"/>
        </w:rPr>
        <w:t>]</w:t>
      </w:r>
      <w:r w:rsidR="00FC663B" w:rsidRPr="00C610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4FBC7B" w14:textId="229F4C1C" w:rsidR="00BF30AA" w:rsidRPr="00C61089" w:rsidRDefault="00FC663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089">
        <w:rPr>
          <w:rFonts w:ascii="Times New Roman" w:hAnsi="Times New Roman" w:cs="Times New Roman"/>
          <w:sz w:val="24"/>
          <w:szCs w:val="24"/>
        </w:rPr>
        <w:t xml:space="preserve">Согласно клиническим рекомендациям МЗ РФ по лечению </w:t>
      </w:r>
      <w:r w:rsidR="0046303F" w:rsidRPr="00C61089">
        <w:rPr>
          <w:rFonts w:ascii="Times New Roman" w:hAnsi="Times New Roman" w:cs="Times New Roman"/>
          <w:sz w:val="24"/>
          <w:szCs w:val="24"/>
        </w:rPr>
        <w:t>ОТФ</w:t>
      </w:r>
      <w:r w:rsidRPr="00C61089">
        <w:rPr>
          <w:rFonts w:ascii="Times New Roman" w:hAnsi="Times New Roman" w:cs="Times New Roman"/>
          <w:sz w:val="24"/>
          <w:szCs w:val="24"/>
        </w:rPr>
        <w:t>, системная антибактериальная терапия показана только при инфекции, вызванной β-гемолитическим стрептококком группы А</w:t>
      </w:r>
      <w:r w:rsidR="0012361D" w:rsidRPr="00C61089">
        <w:rPr>
          <w:rFonts w:ascii="Times New Roman" w:hAnsi="Times New Roman" w:cs="Times New Roman"/>
          <w:sz w:val="24"/>
          <w:szCs w:val="24"/>
        </w:rPr>
        <w:t>, так как без данного лечения мо</w:t>
      </w:r>
      <w:r w:rsidR="00FA17EB" w:rsidRPr="00C61089">
        <w:rPr>
          <w:rFonts w:ascii="Times New Roman" w:hAnsi="Times New Roman" w:cs="Times New Roman"/>
          <w:sz w:val="24"/>
          <w:szCs w:val="24"/>
        </w:rPr>
        <w:t>жет</w:t>
      </w:r>
      <w:r w:rsidR="0012361D" w:rsidRPr="00C61089">
        <w:rPr>
          <w:rFonts w:ascii="Times New Roman" w:hAnsi="Times New Roman" w:cs="Times New Roman"/>
          <w:sz w:val="24"/>
          <w:szCs w:val="24"/>
        </w:rPr>
        <w:t xml:space="preserve"> возникнуть ряд осложнений</w:t>
      </w:r>
      <w:r w:rsidR="0046303F" w:rsidRPr="00C61089">
        <w:rPr>
          <w:rFonts w:ascii="Times New Roman" w:hAnsi="Times New Roman" w:cs="Times New Roman"/>
          <w:sz w:val="24"/>
          <w:szCs w:val="24"/>
        </w:rPr>
        <w:t xml:space="preserve"> </w:t>
      </w:r>
      <w:r w:rsidR="00B31F66" w:rsidRPr="00C61089">
        <w:rPr>
          <w:rFonts w:ascii="Times New Roman" w:hAnsi="Times New Roman" w:cs="Times New Roman"/>
          <w:sz w:val="24"/>
          <w:szCs w:val="24"/>
        </w:rPr>
        <w:t>[</w:t>
      </w:r>
      <w:r w:rsidR="00C90054" w:rsidRPr="00C61089">
        <w:rPr>
          <w:rFonts w:ascii="Times New Roman" w:hAnsi="Times New Roman" w:cs="Times New Roman"/>
          <w:sz w:val="24"/>
          <w:szCs w:val="24"/>
        </w:rPr>
        <w:t>2</w:t>
      </w:r>
      <w:r w:rsidR="008945F3">
        <w:rPr>
          <w:rFonts w:ascii="Times New Roman" w:hAnsi="Times New Roman" w:cs="Times New Roman"/>
          <w:sz w:val="24"/>
          <w:szCs w:val="24"/>
        </w:rPr>
        <w:t>,3</w:t>
      </w:r>
      <w:r w:rsidR="00B31F66" w:rsidRPr="00C61089">
        <w:rPr>
          <w:rFonts w:ascii="Times New Roman" w:hAnsi="Times New Roman" w:cs="Times New Roman"/>
          <w:sz w:val="24"/>
          <w:szCs w:val="24"/>
        </w:rPr>
        <w:t>].</w:t>
      </w:r>
      <w:r w:rsidR="0012361D" w:rsidRPr="00C610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5BBE9" w14:textId="067AB9C1" w:rsidR="00744BCC" w:rsidRPr="00C61089" w:rsidRDefault="00744B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089">
        <w:rPr>
          <w:rFonts w:ascii="Times New Roman" w:hAnsi="Times New Roman" w:cs="Times New Roman"/>
          <w:sz w:val="24"/>
          <w:szCs w:val="24"/>
        </w:rPr>
        <w:t xml:space="preserve">Системная антибактериальная терапия при лечении </w:t>
      </w:r>
      <w:r w:rsidR="0046303F" w:rsidRPr="00C61089">
        <w:rPr>
          <w:rFonts w:ascii="Times New Roman" w:hAnsi="Times New Roman" w:cs="Times New Roman"/>
          <w:sz w:val="24"/>
          <w:szCs w:val="24"/>
        </w:rPr>
        <w:t>ОТФ</w:t>
      </w:r>
      <w:r w:rsidRPr="00C61089">
        <w:rPr>
          <w:rFonts w:ascii="Times New Roman" w:hAnsi="Times New Roman" w:cs="Times New Roman"/>
          <w:sz w:val="24"/>
          <w:szCs w:val="24"/>
        </w:rPr>
        <w:t xml:space="preserve"> позволяет предотвратить развитие острой ревматической лихорадки, профилактировать развитие гнойных осложнений, способствует более раннему купированию клинических симптомов заболевания, улучшает качество жизни.</w:t>
      </w:r>
      <w:r w:rsidR="005C0B93" w:rsidRPr="00C610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CE86D" w14:textId="2435E976" w:rsidR="0012361D" w:rsidRDefault="00744B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089">
        <w:rPr>
          <w:rFonts w:ascii="Times New Roman" w:hAnsi="Times New Roman" w:cs="Times New Roman"/>
          <w:sz w:val="24"/>
          <w:szCs w:val="24"/>
        </w:rPr>
        <w:t xml:space="preserve">Высокая клиническая эффективность и низкая токсичность амоксициллина с клавулановой кислотой составляет основу антимикробной химиотерапии на современном этапе, занимая ведущее место при лечении </w:t>
      </w:r>
      <w:r w:rsidR="0046303F" w:rsidRPr="00C61089">
        <w:rPr>
          <w:rFonts w:ascii="Times New Roman" w:hAnsi="Times New Roman" w:cs="Times New Roman"/>
          <w:sz w:val="24"/>
          <w:szCs w:val="24"/>
        </w:rPr>
        <w:t>ОТФ</w:t>
      </w:r>
      <w:r w:rsidR="003E76A4" w:rsidRPr="00C61089">
        <w:rPr>
          <w:rFonts w:ascii="Times New Roman" w:hAnsi="Times New Roman" w:cs="Times New Roman"/>
          <w:sz w:val="24"/>
          <w:szCs w:val="24"/>
        </w:rPr>
        <w:t xml:space="preserve">, </w:t>
      </w:r>
      <w:r w:rsidR="0046303F" w:rsidRPr="00C61089">
        <w:rPr>
          <w:rFonts w:ascii="Times New Roman" w:hAnsi="Times New Roman" w:cs="Times New Roman"/>
          <w:sz w:val="24"/>
          <w:szCs w:val="24"/>
        </w:rPr>
        <w:t>применяется в клинической практике</w:t>
      </w:r>
      <w:r w:rsidR="00B31F66" w:rsidRPr="00C61089">
        <w:rPr>
          <w:rFonts w:ascii="Times New Roman" w:hAnsi="Times New Roman" w:cs="Times New Roman"/>
          <w:sz w:val="24"/>
          <w:szCs w:val="24"/>
        </w:rPr>
        <w:t xml:space="preserve"> </w:t>
      </w:r>
      <w:r w:rsidR="0046303F" w:rsidRPr="00C61089">
        <w:rPr>
          <w:rFonts w:ascii="Times New Roman" w:hAnsi="Times New Roman" w:cs="Times New Roman"/>
          <w:sz w:val="24"/>
          <w:szCs w:val="24"/>
        </w:rPr>
        <w:t xml:space="preserve">как эпизодически возникающих, так и </w:t>
      </w:r>
      <w:r w:rsidR="003E76A4" w:rsidRPr="00C61089">
        <w:rPr>
          <w:rFonts w:ascii="Times New Roman" w:hAnsi="Times New Roman" w:cs="Times New Roman"/>
          <w:sz w:val="24"/>
          <w:szCs w:val="24"/>
        </w:rPr>
        <w:t>рецидивирующ</w:t>
      </w:r>
      <w:r w:rsidR="0046303F" w:rsidRPr="00C61089">
        <w:rPr>
          <w:rFonts w:ascii="Times New Roman" w:hAnsi="Times New Roman" w:cs="Times New Roman"/>
          <w:sz w:val="24"/>
          <w:szCs w:val="24"/>
        </w:rPr>
        <w:t>их</w:t>
      </w:r>
      <w:r w:rsidR="003E76A4" w:rsidRPr="00C61089">
        <w:rPr>
          <w:rFonts w:ascii="Times New Roman" w:hAnsi="Times New Roman" w:cs="Times New Roman"/>
          <w:sz w:val="24"/>
          <w:szCs w:val="24"/>
        </w:rPr>
        <w:t xml:space="preserve"> </w:t>
      </w:r>
      <w:r w:rsidR="0046303F" w:rsidRPr="00C61089">
        <w:rPr>
          <w:rFonts w:ascii="Times New Roman" w:hAnsi="Times New Roman" w:cs="Times New Roman"/>
          <w:sz w:val="24"/>
          <w:szCs w:val="24"/>
        </w:rPr>
        <w:t>форм</w:t>
      </w:r>
      <w:r w:rsidR="00FD2DBB" w:rsidRPr="00C61089">
        <w:rPr>
          <w:rFonts w:ascii="Times New Roman" w:hAnsi="Times New Roman" w:cs="Times New Roman"/>
          <w:sz w:val="24"/>
          <w:szCs w:val="24"/>
        </w:rPr>
        <w:t xml:space="preserve"> данного заболевания</w:t>
      </w:r>
      <w:r w:rsidR="003E76A4" w:rsidRPr="00C61089">
        <w:rPr>
          <w:rFonts w:ascii="Times New Roman" w:hAnsi="Times New Roman" w:cs="Times New Roman"/>
          <w:sz w:val="24"/>
          <w:szCs w:val="24"/>
        </w:rPr>
        <w:t xml:space="preserve"> </w:t>
      </w:r>
      <w:r w:rsidR="00B31F66" w:rsidRPr="00C61089">
        <w:rPr>
          <w:rFonts w:ascii="Times New Roman" w:hAnsi="Times New Roman" w:cs="Times New Roman"/>
          <w:sz w:val="24"/>
          <w:szCs w:val="24"/>
        </w:rPr>
        <w:t>[</w:t>
      </w:r>
      <w:r w:rsidR="00C90054" w:rsidRPr="00C61089">
        <w:rPr>
          <w:rFonts w:ascii="Times New Roman" w:hAnsi="Times New Roman" w:cs="Times New Roman"/>
          <w:sz w:val="24"/>
          <w:szCs w:val="24"/>
        </w:rPr>
        <w:t>4</w:t>
      </w:r>
      <w:r w:rsidR="008945F3">
        <w:rPr>
          <w:rFonts w:ascii="Times New Roman" w:hAnsi="Times New Roman" w:cs="Times New Roman"/>
          <w:sz w:val="24"/>
          <w:szCs w:val="24"/>
        </w:rPr>
        <w:t>,5</w:t>
      </w:r>
      <w:r w:rsidR="00B31F66" w:rsidRPr="00C61089">
        <w:rPr>
          <w:rFonts w:ascii="Times New Roman" w:hAnsi="Times New Roman" w:cs="Times New Roman"/>
          <w:sz w:val="24"/>
          <w:szCs w:val="24"/>
        </w:rPr>
        <w:t>]</w:t>
      </w:r>
      <w:r w:rsidRPr="00C61089">
        <w:rPr>
          <w:rFonts w:ascii="Times New Roman" w:hAnsi="Times New Roman" w:cs="Times New Roman"/>
          <w:sz w:val="24"/>
          <w:szCs w:val="24"/>
        </w:rPr>
        <w:t>.</w:t>
      </w:r>
    </w:p>
    <w:p w14:paraId="554E7331" w14:textId="4DB0A233" w:rsidR="00AF7251" w:rsidRPr="00551A82" w:rsidRDefault="00500E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F7251">
        <w:rPr>
          <w:rFonts w:ascii="Times New Roman" w:hAnsi="Times New Roman" w:cs="Times New Roman"/>
          <w:sz w:val="24"/>
          <w:szCs w:val="24"/>
        </w:rPr>
        <w:t>аблетированные лекар</w:t>
      </w:r>
      <w:r w:rsidR="00AF7251" w:rsidRPr="00AF7251">
        <w:rPr>
          <w:rFonts w:ascii="Times New Roman" w:hAnsi="Times New Roman" w:cs="Times New Roman"/>
          <w:sz w:val="24"/>
          <w:szCs w:val="24"/>
        </w:rPr>
        <w:t>ственные формы ан</w:t>
      </w:r>
      <w:r w:rsidR="00AF7251">
        <w:rPr>
          <w:rFonts w:ascii="Times New Roman" w:hAnsi="Times New Roman" w:cs="Times New Roman"/>
          <w:sz w:val="24"/>
          <w:szCs w:val="24"/>
        </w:rPr>
        <w:t>тиб</w:t>
      </w:r>
      <w:r>
        <w:rPr>
          <w:rFonts w:ascii="Times New Roman" w:hAnsi="Times New Roman" w:cs="Times New Roman"/>
          <w:sz w:val="24"/>
          <w:szCs w:val="24"/>
        </w:rPr>
        <w:t>актериальных препаратов</w:t>
      </w:r>
      <w:r w:rsidR="00AF7251">
        <w:rPr>
          <w:rFonts w:ascii="Times New Roman" w:hAnsi="Times New Roman" w:cs="Times New Roman"/>
          <w:sz w:val="24"/>
          <w:szCs w:val="24"/>
        </w:rPr>
        <w:t xml:space="preserve"> обладают определенны</w:t>
      </w:r>
      <w:r w:rsidR="00AF7251" w:rsidRPr="00AF7251">
        <w:rPr>
          <w:rFonts w:ascii="Times New Roman" w:hAnsi="Times New Roman" w:cs="Times New Roman"/>
          <w:sz w:val="24"/>
          <w:szCs w:val="24"/>
        </w:rPr>
        <w:t xml:space="preserve">ми недостатками, </w:t>
      </w:r>
      <w:r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="00C61089">
        <w:rPr>
          <w:rFonts w:ascii="Times New Roman" w:hAnsi="Times New Roman" w:cs="Times New Roman"/>
          <w:sz w:val="24"/>
          <w:szCs w:val="24"/>
        </w:rPr>
        <w:t xml:space="preserve">более низкой биодоступностью, связанной с </w:t>
      </w:r>
      <w:r w:rsidR="00AF7251">
        <w:rPr>
          <w:rFonts w:ascii="Times New Roman" w:hAnsi="Times New Roman" w:cs="Times New Roman"/>
          <w:sz w:val="24"/>
          <w:szCs w:val="24"/>
        </w:rPr>
        <w:t>нерав</w:t>
      </w:r>
      <w:r w:rsidR="00C61089">
        <w:rPr>
          <w:rFonts w:ascii="Times New Roman" w:hAnsi="Times New Roman" w:cs="Times New Roman"/>
          <w:sz w:val="24"/>
          <w:szCs w:val="24"/>
        </w:rPr>
        <w:t>номерным</w:t>
      </w:r>
      <w:r w:rsidR="00AF7251" w:rsidRPr="00AF7251">
        <w:rPr>
          <w:rFonts w:ascii="Times New Roman" w:hAnsi="Times New Roman" w:cs="Times New Roman"/>
          <w:sz w:val="24"/>
          <w:szCs w:val="24"/>
        </w:rPr>
        <w:t xml:space="preserve"> всасывание</w:t>
      </w:r>
      <w:r w:rsidR="00C61089">
        <w:rPr>
          <w:rFonts w:ascii="Times New Roman" w:hAnsi="Times New Roman" w:cs="Times New Roman"/>
          <w:sz w:val="24"/>
          <w:szCs w:val="24"/>
        </w:rPr>
        <w:t>м</w:t>
      </w:r>
      <w:r w:rsidR="00AF7251" w:rsidRPr="00AF7251">
        <w:rPr>
          <w:rFonts w:ascii="Times New Roman" w:hAnsi="Times New Roman" w:cs="Times New Roman"/>
          <w:sz w:val="24"/>
          <w:szCs w:val="24"/>
        </w:rPr>
        <w:t xml:space="preserve"> </w:t>
      </w:r>
      <w:r w:rsidR="00AF7251">
        <w:rPr>
          <w:rFonts w:ascii="Times New Roman" w:hAnsi="Times New Roman" w:cs="Times New Roman"/>
          <w:sz w:val="24"/>
          <w:szCs w:val="24"/>
        </w:rPr>
        <w:t xml:space="preserve">лекарственного средства </w:t>
      </w:r>
      <w:r>
        <w:rPr>
          <w:rFonts w:ascii="Times New Roman" w:hAnsi="Times New Roman" w:cs="Times New Roman"/>
          <w:sz w:val="24"/>
          <w:szCs w:val="24"/>
        </w:rPr>
        <w:t>(биодоступность</w:t>
      </w:r>
      <w:r w:rsidR="00AF7251" w:rsidRPr="00AF7251">
        <w:rPr>
          <w:rFonts w:ascii="Times New Roman" w:hAnsi="Times New Roman" w:cs="Times New Roman"/>
          <w:sz w:val="24"/>
          <w:szCs w:val="24"/>
        </w:rPr>
        <w:t xml:space="preserve"> </w:t>
      </w:r>
      <w:r w:rsidR="00AF7251">
        <w:rPr>
          <w:rFonts w:ascii="Times New Roman" w:hAnsi="Times New Roman" w:cs="Times New Roman"/>
          <w:sz w:val="24"/>
          <w:szCs w:val="24"/>
        </w:rPr>
        <w:t>амоксициллина в</w:t>
      </w:r>
      <w:r w:rsidR="00AF7251" w:rsidRPr="00AF7251">
        <w:rPr>
          <w:rFonts w:ascii="Times New Roman" w:hAnsi="Times New Roman" w:cs="Times New Roman"/>
          <w:sz w:val="24"/>
          <w:szCs w:val="24"/>
        </w:rPr>
        <w:t xml:space="preserve"> капсулах</w:t>
      </w:r>
      <w:r>
        <w:rPr>
          <w:rFonts w:ascii="Times New Roman" w:hAnsi="Times New Roman" w:cs="Times New Roman"/>
          <w:sz w:val="24"/>
          <w:szCs w:val="24"/>
        </w:rPr>
        <w:t xml:space="preserve"> или таблетках, покрытых оболочкой, составляет </w:t>
      </w:r>
      <w:r w:rsidRPr="00D7478A">
        <w:rPr>
          <w:rFonts w:ascii="Times New Roman" w:hAnsi="Times New Roman" w:cs="Times New Roman"/>
          <w:sz w:val="24"/>
          <w:szCs w:val="24"/>
        </w:rPr>
        <w:t>70%</w:t>
      </w:r>
      <w:r w:rsidR="00D7478A" w:rsidRPr="00D7478A">
        <w:rPr>
          <w:rFonts w:ascii="Times New Roman" w:hAnsi="Times New Roman" w:cs="Times New Roman"/>
          <w:sz w:val="24"/>
          <w:szCs w:val="24"/>
        </w:rPr>
        <w:t xml:space="preserve"> [6]</w:t>
      </w:r>
      <w:r w:rsidR="00AF7251" w:rsidRPr="00D7478A">
        <w:rPr>
          <w:rFonts w:ascii="Times New Roman" w:hAnsi="Times New Roman" w:cs="Times New Roman"/>
          <w:sz w:val="24"/>
          <w:szCs w:val="24"/>
        </w:rPr>
        <w:t>),</w:t>
      </w:r>
      <w:r w:rsidR="00AF7251" w:rsidRPr="00AF7251">
        <w:rPr>
          <w:rFonts w:ascii="Times New Roman" w:hAnsi="Times New Roman" w:cs="Times New Roman"/>
          <w:sz w:val="24"/>
          <w:szCs w:val="24"/>
        </w:rPr>
        <w:t xml:space="preserve"> </w:t>
      </w:r>
      <w:r w:rsidR="00C61089">
        <w:rPr>
          <w:rFonts w:ascii="Times New Roman" w:hAnsi="Times New Roman" w:cs="Times New Roman"/>
          <w:sz w:val="24"/>
          <w:szCs w:val="24"/>
        </w:rPr>
        <w:t>возникновением трудности</w:t>
      </w:r>
      <w:r>
        <w:rPr>
          <w:rFonts w:ascii="Times New Roman" w:hAnsi="Times New Roman" w:cs="Times New Roman"/>
          <w:sz w:val="24"/>
          <w:szCs w:val="24"/>
        </w:rPr>
        <w:t xml:space="preserve"> при глотании крупных таблеток</w:t>
      </w:r>
      <w:r w:rsidR="00C61089">
        <w:rPr>
          <w:rFonts w:ascii="Times New Roman" w:hAnsi="Times New Roman" w:cs="Times New Roman"/>
          <w:sz w:val="24"/>
          <w:szCs w:val="24"/>
        </w:rPr>
        <w:t>, особенно у пациентов с дисфагией, детей и пожилых</w:t>
      </w:r>
      <w:r w:rsidR="00AF7251" w:rsidRPr="00AF7251">
        <w:rPr>
          <w:rFonts w:ascii="Times New Roman" w:hAnsi="Times New Roman" w:cs="Times New Roman"/>
          <w:sz w:val="24"/>
          <w:szCs w:val="24"/>
        </w:rPr>
        <w:t>; повышение</w:t>
      </w:r>
      <w:r w:rsidR="00C61089">
        <w:rPr>
          <w:rFonts w:ascii="Times New Roman" w:hAnsi="Times New Roman" w:cs="Times New Roman"/>
          <w:sz w:val="24"/>
          <w:szCs w:val="24"/>
        </w:rPr>
        <w:t>м</w:t>
      </w:r>
      <w:r w:rsidR="00AF7251" w:rsidRPr="00AF7251">
        <w:rPr>
          <w:rFonts w:ascii="Times New Roman" w:hAnsi="Times New Roman" w:cs="Times New Roman"/>
          <w:sz w:val="24"/>
          <w:szCs w:val="24"/>
        </w:rPr>
        <w:t xml:space="preserve"> риска развития </w:t>
      </w:r>
      <w:r>
        <w:rPr>
          <w:rFonts w:ascii="Times New Roman" w:hAnsi="Times New Roman" w:cs="Times New Roman"/>
          <w:sz w:val="24"/>
          <w:szCs w:val="24"/>
        </w:rPr>
        <w:t>расстройств</w:t>
      </w:r>
      <w:r w:rsidR="00AF7251" w:rsidRPr="00AF7251">
        <w:rPr>
          <w:rFonts w:ascii="Times New Roman" w:hAnsi="Times New Roman" w:cs="Times New Roman"/>
          <w:sz w:val="24"/>
          <w:szCs w:val="24"/>
        </w:rPr>
        <w:t xml:space="preserve"> пищеварительного тракта под воздействием не</w:t>
      </w:r>
      <w:r w:rsidR="00E4024C">
        <w:rPr>
          <w:rFonts w:ascii="Times New Roman" w:hAnsi="Times New Roman" w:cs="Times New Roman"/>
          <w:sz w:val="24"/>
          <w:szCs w:val="24"/>
        </w:rPr>
        <w:t xml:space="preserve"> </w:t>
      </w:r>
      <w:r w:rsidR="00AF7251" w:rsidRPr="00AF7251">
        <w:rPr>
          <w:rFonts w:ascii="Times New Roman" w:hAnsi="Times New Roman" w:cs="Times New Roman"/>
          <w:sz w:val="24"/>
          <w:szCs w:val="24"/>
        </w:rPr>
        <w:t xml:space="preserve">всосавшейся части препарата. </w:t>
      </w:r>
      <w:r w:rsidR="00E4024C">
        <w:rPr>
          <w:rFonts w:ascii="Times New Roman" w:hAnsi="Times New Roman" w:cs="Times New Roman"/>
          <w:sz w:val="24"/>
          <w:szCs w:val="24"/>
        </w:rPr>
        <w:t>В дис</w:t>
      </w:r>
      <w:r>
        <w:rPr>
          <w:rFonts w:ascii="Times New Roman" w:hAnsi="Times New Roman" w:cs="Times New Roman"/>
          <w:sz w:val="24"/>
          <w:szCs w:val="24"/>
        </w:rPr>
        <w:t>пергируемы</w:t>
      </w:r>
      <w:r w:rsidR="00E4024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251">
        <w:rPr>
          <w:rFonts w:ascii="Times New Roman" w:hAnsi="Times New Roman" w:cs="Times New Roman"/>
          <w:sz w:val="24"/>
          <w:szCs w:val="24"/>
        </w:rPr>
        <w:t>лекарственн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4024C">
        <w:rPr>
          <w:rFonts w:ascii="Times New Roman" w:hAnsi="Times New Roman" w:cs="Times New Roman"/>
          <w:sz w:val="24"/>
          <w:szCs w:val="24"/>
        </w:rPr>
        <w:t>х</w:t>
      </w:r>
      <w:r w:rsidRPr="00AF7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</w:t>
      </w:r>
      <w:r w:rsidR="00E4024C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24C">
        <w:rPr>
          <w:rFonts w:ascii="Times New Roman" w:hAnsi="Times New Roman" w:cs="Times New Roman"/>
          <w:sz w:val="24"/>
          <w:szCs w:val="24"/>
        </w:rPr>
        <w:t xml:space="preserve">описанные эффекты </w:t>
      </w:r>
      <w:r w:rsidR="00AF7251" w:rsidRPr="00AF7251">
        <w:rPr>
          <w:rFonts w:ascii="Times New Roman" w:hAnsi="Times New Roman" w:cs="Times New Roman"/>
          <w:sz w:val="24"/>
          <w:szCs w:val="24"/>
        </w:rPr>
        <w:t xml:space="preserve">минимизированы </w:t>
      </w:r>
      <w:r w:rsidR="00E4024C">
        <w:rPr>
          <w:rFonts w:ascii="Times New Roman" w:hAnsi="Times New Roman" w:cs="Times New Roman"/>
          <w:sz w:val="24"/>
          <w:szCs w:val="24"/>
        </w:rPr>
        <w:t>благодаря улучшенным</w:t>
      </w:r>
      <w:r w:rsidR="00AF7251" w:rsidRPr="00AF7251">
        <w:rPr>
          <w:rFonts w:ascii="Times New Roman" w:hAnsi="Times New Roman" w:cs="Times New Roman"/>
          <w:sz w:val="24"/>
          <w:szCs w:val="24"/>
        </w:rPr>
        <w:t xml:space="preserve"> фармакокинетическим характе</w:t>
      </w:r>
      <w:r w:rsidR="00AF7251">
        <w:rPr>
          <w:rFonts w:ascii="Times New Roman" w:hAnsi="Times New Roman" w:cs="Times New Roman"/>
          <w:sz w:val="24"/>
          <w:szCs w:val="24"/>
        </w:rPr>
        <w:t>ристика</w:t>
      </w:r>
      <w:r w:rsidR="00E4024C">
        <w:rPr>
          <w:rFonts w:ascii="Times New Roman" w:hAnsi="Times New Roman" w:cs="Times New Roman"/>
          <w:sz w:val="24"/>
          <w:szCs w:val="24"/>
        </w:rPr>
        <w:t>м</w:t>
      </w:r>
      <w:r w:rsidR="006C62CA">
        <w:rPr>
          <w:rFonts w:ascii="Times New Roman" w:hAnsi="Times New Roman" w:cs="Times New Roman"/>
          <w:sz w:val="24"/>
          <w:szCs w:val="24"/>
        </w:rPr>
        <w:t xml:space="preserve">, что показано в ряде </w:t>
      </w:r>
      <w:r w:rsidR="006C62CA" w:rsidRPr="0044342F">
        <w:rPr>
          <w:rFonts w:ascii="Times New Roman" w:hAnsi="Times New Roman" w:cs="Times New Roman"/>
          <w:sz w:val="24"/>
          <w:szCs w:val="24"/>
        </w:rPr>
        <w:t>исследований</w:t>
      </w:r>
      <w:r w:rsidR="00D7478A">
        <w:rPr>
          <w:rFonts w:ascii="Times New Roman" w:hAnsi="Times New Roman" w:cs="Times New Roman"/>
          <w:sz w:val="24"/>
          <w:szCs w:val="24"/>
        </w:rPr>
        <w:t xml:space="preserve"> </w:t>
      </w:r>
      <w:r w:rsidR="00D7478A" w:rsidRPr="00D7478A">
        <w:rPr>
          <w:rFonts w:ascii="Times New Roman" w:hAnsi="Times New Roman" w:cs="Times New Roman"/>
          <w:sz w:val="24"/>
          <w:szCs w:val="24"/>
        </w:rPr>
        <w:t>[7]</w:t>
      </w:r>
      <w:r w:rsidR="00AF7251">
        <w:rPr>
          <w:rFonts w:ascii="Times New Roman" w:hAnsi="Times New Roman" w:cs="Times New Roman"/>
          <w:sz w:val="24"/>
          <w:szCs w:val="24"/>
        </w:rPr>
        <w:t xml:space="preserve">. </w:t>
      </w:r>
      <w:r w:rsidR="00E4024C">
        <w:rPr>
          <w:rFonts w:ascii="Times New Roman" w:hAnsi="Times New Roman" w:cs="Times New Roman"/>
          <w:sz w:val="24"/>
          <w:szCs w:val="24"/>
        </w:rPr>
        <w:t>Диспергируемые таблетки б</w:t>
      </w:r>
      <w:r w:rsidR="00AF7251">
        <w:rPr>
          <w:rFonts w:ascii="Times New Roman" w:hAnsi="Times New Roman" w:cs="Times New Roman"/>
          <w:sz w:val="24"/>
          <w:szCs w:val="24"/>
        </w:rPr>
        <w:t>ыстро распад</w:t>
      </w:r>
      <w:r w:rsidR="00E4024C">
        <w:rPr>
          <w:rFonts w:ascii="Times New Roman" w:hAnsi="Times New Roman" w:cs="Times New Roman"/>
          <w:sz w:val="24"/>
          <w:szCs w:val="24"/>
        </w:rPr>
        <w:t>аются</w:t>
      </w:r>
      <w:r w:rsidR="00AF7251">
        <w:rPr>
          <w:rFonts w:ascii="Times New Roman" w:hAnsi="Times New Roman" w:cs="Times New Roman"/>
          <w:sz w:val="24"/>
          <w:szCs w:val="24"/>
        </w:rPr>
        <w:t xml:space="preserve"> в </w:t>
      </w:r>
      <w:r w:rsidR="00E4024C">
        <w:rPr>
          <w:rFonts w:ascii="Times New Roman" w:hAnsi="Times New Roman" w:cs="Times New Roman"/>
          <w:sz w:val="24"/>
          <w:szCs w:val="24"/>
        </w:rPr>
        <w:t>жидкости</w:t>
      </w:r>
      <w:r w:rsidR="00AF7251" w:rsidRPr="00AF7251">
        <w:rPr>
          <w:rFonts w:ascii="Times New Roman" w:hAnsi="Times New Roman" w:cs="Times New Roman"/>
          <w:sz w:val="24"/>
          <w:szCs w:val="24"/>
        </w:rPr>
        <w:t xml:space="preserve"> (в течение 10–30</w:t>
      </w:r>
      <w:r w:rsidR="00E4024C">
        <w:rPr>
          <w:rFonts w:ascii="Times New Roman" w:hAnsi="Times New Roman" w:cs="Times New Roman"/>
          <w:sz w:val="24"/>
          <w:szCs w:val="24"/>
        </w:rPr>
        <w:t xml:space="preserve"> секунд)</w:t>
      </w:r>
      <w:r w:rsidR="008945F3">
        <w:rPr>
          <w:rFonts w:ascii="Times New Roman" w:hAnsi="Times New Roman" w:cs="Times New Roman"/>
          <w:sz w:val="24"/>
          <w:szCs w:val="24"/>
        </w:rPr>
        <w:t xml:space="preserve"> с образованием</w:t>
      </w:r>
      <w:r w:rsidR="00E4024C">
        <w:rPr>
          <w:rFonts w:ascii="Times New Roman" w:hAnsi="Times New Roman" w:cs="Times New Roman"/>
          <w:sz w:val="24"/>
          <w:szCs w:val="24"/>
        </w:rPr>
        <w:t xml:space="preserve"> </w:t>
      </w:r>
      <w:r w:rsidR="00AF7251">
        <w:rPr>
          <w:rFonts w:ascii="Times New Roman" w:hAnsi="Times New Roman" w:cs="Times New Roman"/>
          <w:sz w:val="24"/>
          <w:szCs w:val="24"/>
        </w:rPr>
        <w:t>суспензи</w:t>
      </w:r>
      <w:r w:rsidR="008945F3">
        <w:rPr>
          <w:rFonts w:ascii="Times New Roman" w:hAnsi="Times New Roman" w:cs="Times New Roman"/>
          <w:sz w:val="24"/>
          <w:szCs w:val="24"/>
        </w:rPr>
        <w:t>и</w:t>
      </w:r>
      <w:r w:rsidR="00E4024C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AF7251" w:rsidRPr="00AF7251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 более </w:t>
      </w:r>
      <w:r w:rsidR="00AF7251">
        <w:rPr>
          <w:rFonts w:ascii="Times New Roman" w:hAnsi="Times New Roman" w:cs="Times New Roman"/>
          <w:sz w:val="24"/>
          <w:szCs w:val="24"/>
        </w:rPr>
        <w:t>высокий и</w:t>
      </w:r>
      <w:r w:rsidR="00AF7251" w:rsidRPr="00AF7251">
        <w:rPr>
          <w:rFonts w:ascii="Times New Roman" w:hAnsi="Times New Roman" w:cs="Times New Roman"/>
          <w:sz w:val="24"/>
          <w:szCs w:val="24"/>
        </w:rPr>
        <w:t xml:space="preserve"> стабиль</w:t>
      </w:r>
      <w:r w:rsidR="00AF7251">
        <w:rPr>
          <w:rFonts w:ascii="Times New Roman" w:hAnsi="Times New Roman" w:cs="Times New Roman"/>
          <w:sz w:val="24"/>
          <w:szCs w:val="24"/>
        </w:rPr>
        <w:t xml:space="preserve">ный уровень абсорбции в тонком </w:t>
      </w:r>
      <w:r w:rsidR="00E4024C" w:rsidRPr="0044342F">
        <w:rPr>
          <w:rFonts w:ascii="Times New Roman" w:hAnsi="Times New Roman" w:cs="Times New Roman"/>
          <w:sz w:val="24"/>
          <w:szCs w:val="24"/>
        </w:rPr>
        <w:t>кишечнике</w:t>
      </w:r>
      <w:r w:rsidR="00D7478A">
        <w:rPr>
          <w:rFonts w:ascii="Times New Roman" w:hAnsi="Times New Roman" w:cs="Times New Roman"/>
          <w:sz w:val="24"/>
          <w:szCs w:val="24"/>
        </w:rPr>
        <w:t xml:space="preserve"> </w:t>
      </w:r>
      <w:r w:rsidR="00D7478A" w:rsidRPr="00D7478A">
        <w:rPr>
          <w:rFonts w:ascii="Times New Roman" w:hAnsi="Times New Roman" w:cs="Times New Roman"/>
          <w:sz w:val="24"/>
          <w:szCs w:val="24"/>
        </w:rPr>
        <w:t>[</w:t>
      </w:r>
      <w:r w:rsidR="00D7478A">
        <w:rPr>
          <w:rFonts w:ascii="Times New Roman" w:hAnsi="Times New Roman" w:cs="Times New Roman"/>
          <w:sz w:val="24"/>
          <w:szCs w:val="24"/>
        </w:rPr>
        <w:t>8</w:t>
      </w:r>
      <w:r w:rsidR="00D7478A" w:rsidRPr="00D7478A">
        <w:rPr>
          <w:rFonts w:ascii="Times New Roman" w:hAnsi="Times New Roman" w:cs="Times New Roman"/>
          <w:sz w:val="24"/>
          <w:szCs w:val="24"/>
        </w:rPr>
        <w:t>]</w:t>
      </w:r>
      <w:r w:rsidR="00AF7251" w:rsidRPr="00AF7251">
        <w:rPr>
          <w:rFonts w:ascii="Times New Roman" w:hAnsi="Times New Roman" w:cs="Times New Roman"/>
          <w:sz w:val="24"/>
          <w:szCs w:val="24"/>
        </w:rPr>
        <w:t xml:space="preserve">. </w:t>
      </w:r>
      <w:r w:rsidR="008945F3">
        <w:rPr>
          <w:rFonts w:ascii="Times New Roman" w:hAnsi="Times New Roman" w:cs="Times New Roman"/>
          <w:sz w:val="24"/>
          <w:szCs w:val="24"/>
        </w:rPr>
        <w:t xml:space="preserve">Равномерное и полное всасывание препарата </w:t>
      </w:r>
      <w:r w:rsidR="008945F3" w:rsidRPr="00AF7251">
        <w:rPr>
          <w:rFonts w:ascii="Times New Roman" w:hAnsi="Times New Roman" w:cs="Times New Roman"/>
          <w:sz w:val="24"/>
          <w:szCs w:val="24"/>
        </w:rPr>
        <w:t xml:space="preserve">гарантирует </w:t>
      </w:r>
      <w:r w:rsidR="008945F3">
        <w:rPr>
          <w:rFonts w:ascii="Times New Roman" w:hAnsi="Times New Roman" w:cs="Times New Roman"/>
          <w:sz w:val="24"/>
          <w:szCs w:val="24"/>
        </w:rPr>
        <w:t xml:space="preserve">его </w:t>
      </w:r>
      <w:r w:rsidR="008945F3" w:rsidRPr="00AF7251">
        <w:rPr>
          <w:rFonts w:ascii="Times New Roman" w:hAnsi="Times New Roman" w:cs="Times New Roman"/>
          <w:sz w:val="24"/>
          <w:szCs w:val="24"/>
        </w:rPr>
        <w:t xml:space="preserve">высокую биодоступность </w:t>
      </w:r>
      <w:r w:rsidR="008945F3">
        <w:rPr>
          <w:rFonts w:ascii="Times New Roman" w:hAnsi="Times New Roman" w:cs="Times New Roman"/>
          <w:sz w:val="24"/>
          <w:szCs w:val="24"/>
        </w:rPr>
        <w:t>и</w:t>
      </w:r>
      <w:r w:rsidR="008945F3" w:rsidRPr="00AF7251">
        <w:rPr>
          <w:rFonts w:ascii="Times New Roman" w:hAnsi="Times New Roman" w:cs="Times New Roman"/>
          <w:sz w:val="24"/>
          <w:szCs w:val="24"/>
        </w:rPr>
        <w:t xml:space="preserve"> эффективно</w:t>
      </w:r>
      <w:r w:rsidR="008945F3">
        <w:rPr>
          <w:rFonts w:ascii="Times New Roman" w:hAnsi="Times New Roman" w:cs="Times New Roman"/>
          <w:sz w:val="24"/>
          <w:szCs w:val="24"/>
        </w:rPr>
        <w:t>сть, кроме того,</w:t>
      </w:r>
      <w:r w:rsidR="00E4024C">
        <w:rPr>
          <w:rFonts w:ascii="Times New Roman" w:hAnsi="Times New Roman" w:cs="Times New Roman"/>
          <w:sz w:val="24"/>
          <w:szCs w:val="24"/>
        </w:rPr>
        <w:t xml:space="preserve"> сокращается время контакта </w:t>
      </w:r>
      <w:r w:rsidR="008945F3">
        <w:rPr>
          <w:rFonts w:ascii="Times New Roman" w:hAnsi="Times New Roman" w:cs="Times New Roman"/>
          <w:sz w:val="24"/>
          <w:szCs w:val="24"/>
        </w:rPr>
        <w:t>действующего вещества</w:t>
      </w:r>
      <w:r w:rsidR="00E4024C">
        <w:rPr>
          <w:rFonts w:ascii="Times New Roman" w:hAnsi="Times New Roman" w:cs="Times New Roman"/>
          <w:sz w:val="24"/>
          <w:szCs w:val="24"/>
        </w:rPr>
        <w:t xml:space="preserve"> со слизистой оболочкой и микрофлорой кишечника</w:t>
      </w:r>
      <w:r w:rsidR="008945F3">
        <w:rPr>
          <w:rFonts w:ascii="Times New Roman" w:hAnsi="Times New Roman" w:cs="Times New Roman"/>
          <w:sz w:val="24"/>
          <w:szCs w:val="24"/>
        </w:rPr>
        <w:t>, способствуя улучшению п</w:t>
      </w:r>
      <w:r w:rsidR="00D7478A">
        <w:rPr>
          <w:rFonts w:ascii="Times New Roman" w:hAnsi="Times New Roman" w:cs="Times New Roman"/>
          <w:sz w:val="24"/>
          <w:szCs w:val="24"/>
        </w:rPr>
        <w:t>ро</w:t>
      </w:r>
      <w:r w:rsidR="00C6725D">
        <w:rPr>
          <w:rFonts w:ascii="Times New Roman" w:hAnsi="Times New Roman" w:cs="Times New Roman"/>
          <w:sz w:val="24"/>
          <w:szCs w:val="24"/>
        </w:rPr>
        <w:t>филя безопасности препарата [9,10</w:t>
      </w:r>
      <w:r w:rsidR="00AF7251" w:rsidRPr="00AF7251">
        <w:rPr>
          <w:rFonts w:ascii="Times New Roman" w:hAnsi="Times New Roman" w:cs="Times New Roman"/>
          <w:sz w:val="24"/>
          <w:szCs w:val="24"/>
        </w:rPr>
        <w:t>].</w:t>
      </w:r>
      <w:r w:rsidR="00551A82" w:rsidRPr="00C61089">
        <w:rPr>
          <w:rFonts w:ascii="Times New Roman" w:hAnsi="Times New Roman" w:cs="Times New Roman"/>
          <w:sz w:val="24"/>
          <w:szCs w:val="24"/>
        </w:rPr>
        <w:t xml:space="preserve"> </w:t>
      </w:r>
      <w:r w:rsidR="00551A82" w:rsidRPr="00551A82">
        <w:rPr>
          <w:rFonts w:ascii="Times New Roman" w:hAnsi="Times New Roman" w:cs="Times New Roman"/>
          <w:sz w:val="24"/>
          <w:szCs w:val="24"/>
        </w:rPr>
        <w:t xml:space="preserve">Эксперты </w:t>
      </w:r>
      <w:r w:rsidR="00C61089">
        <w:rPr>
          <w:rFonts w:ascii="Times New Roman" w:hAnsi="Times New Roman" w:cs="Times New Roman"/>
          <w:sz w:val="24"/>
          <w:szCs w:val="24"/>
        </w:rPr>
        <w:t>Всемирной организации здравоохранения (</w:t>
      </w:r>
      <w:r w:rsidR="00551A82" w:rsidRPr="00551A82">
        <w:rPr>
          <w:rFonts w:ascii="Times New Roman" w:hAnsi="Times New Roman" w:cs="Times New Roman"/>
          <w:sz w:val="24"/>
          <w:szCs w:val="24"/>
        </w:rPr>
        <w:t>ВОЗ</w:t>
      </w:r>
      <w:r w:rsidR="00C61089">
        <w:rPr>
          <w:rFonts w:ascii="Times New Roman" w:hAnsi="Times New Roman" w:cs="Times New Roman"/>
          <w:sz w:val="24"/>
          <w:szCs w:val="24"/>
        </w:rPr>
        <w:t>)</w:t>
      </w:r>
      <w:r w:rsidR="00551A82" w:rsidRPr="00551A82">
        <w:rPr>
          <w:rFonts w:ascii="Times New Roman" w:hAnsi="Times New Roman" w:cs="Times New Roman"/>
          <w:sz w:val="24"/>
          <w:szCs w:val="24"/>
        </w:rPr>
        <w:t xml:space="preserve"> и </w:t>
      </w:r>
      <w:r w:rsidR="00C6725D">
        <w:rPr>
          <w:rFonts w:ascii="Times New Roman" w:hAnsi="Times New Roman" w:cs="Times New Roman"/>
          <w:sz w:val="24"/>
          <w:szCs w:val="24"/>
        </w:rPr>
        <w:t xml:space="preserve">ЮНИСЕФ </w:t>
      </w:r>
      <w:r w:rsidR="00C6725D" w:rsidRPr="001A7D19">
        <w:rPr>
          <w:rFonts w:ascii="Times New Roman" w:hAnsi="Times New Roman" w:cs="Times New Roman"/>
          <w:sz w:val="24"/>
          <w:szCs w:val="24"/>
        </w:rPr>
        <w:t>(</w:t>
      </w:r>
      <w:r w:rsidR="00551A82" w:rsidRPr="001A7D19">
        <w:rPr>
          <w:rFonts w:ascii="Times New Roman" w:hAnsi="Times New Roman" w:cs="Times New Roman"/>
          <w:sz w:val="24"/>
          <w:szCs w:val="24"/>
        </w:rPr>
        <w:t>UNICEF</w:t>
      </w:r>
      <w:r w:rsidR="00C6725D" w:rsidRPr="001A7D1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6725D" w:rsidRPr="001A7D19">
        <w:rPr>
          <w:rFonts w:ascii="Times New Roman" w:hAnsi="Times New Roman" w:cs="Times New Roman"/>
          <w:sz w:val="24"/>
          <w:szCs w:val="24"/>
        </w:rPr>
        <w:t>United</w:t>
      </w:r>
      <w:proofErr w:type="spellEnd"/>
      <w:r w:rsidR="00C6725D" w:rsidRPr="001A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25D" w:rsidRPr="001A7D19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="00C6725D" w:rsidRPr="001A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25D" w:rsidRPr="001A7D1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C6725D" w:rsidRPr="001A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25D" w:rsidRPr="001A7D19">
        <w:rPr>
          <w:rFonts w:ascii="Times New Roman" w:hAnsi="Times New Roman" w:cs="Times New Roman"/>
          <w:sz w:val="24"/>
          <w:szCs w:val="24"/>
        </w:rPr>
        <w:t>Children's</w:t>
      </w:r>
      <w:proofErr w:type="spellEnd"/>
      <w:r w:rsidR="00C6725D" w:rsidRPr="001A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25D" w:rsidRPr="001A7D19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="00C6725D" w:rsidRPr="001A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25D" w:rsidRPr="001A7D19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="00C6725D" w:rsidRPr="001A7D19">
        <w:rPr>
          <w:rFonts w:ascii="Times New Roman" w:hAnsi="Times New Roman" w:cs="Times New Roman"/>
          <w:sz w:val="24"/>
          <w:szCs w:val="24"/>
        </w:rPr>
        <w:t>)</w:t>
      </w:r>
      <w:r w:rsidR="00551A82" w:rsidRPr="001A7D19">
        <w:rPr>
          <w:rFonts w:ascii="Times New Roman" w:hAnsi="Times New Roman" w:cs="Times New Roman"/>
          <w:sz w:val="24"/>
          <w:szCs w:val="24"/>
        </w:rPr>
        <w:t xml:space="preserve"> рекомендуют </w:t>
      </w:r>
      <w:r w:rsidR="00ED52BA" w:rsidRPr="001A7D19">
        <w:rPr>
          <w:rFonts w:ascii="Times New Roman" w:hAnsi="Times New Roman" w:cs="Times New Roman"/>
          <w:sz w:val="24"/>
          <w:szCs w:val="24"/>
        </w:rPr>
        <w:t>применять антибактериальные препараты (АБП)</w:t>
      </w:r>
      <w:r w:rsidR="00551A82" w:rsidRPr="001A7D19">
        <w:rPr>
          <w:rFonts w:ascii="Times New Roman" w:hAnsi="Times New Roman" w:cs="Times New Roman"/>
          <w:sz w:val="24"/>
          <w:szCs w:val="24"/>
        </w:rPr>
        <w:t xml:space="preserve"> в виде диспергируемых таблеток, </w:t>
      </w:r>
      <w:r w:rsidR="00493FB4">
        <w:rPr>
          <w:rFonts w:ascii="Times New Roman" w:hAnsi="Times New Roman" w:cs="Times New Roman"/>
          <w:sz w:val="24"/>
          <w:szCs w:val="24"/>
        </w:rPr>
        <w:t>так как</w:t>
      </w:r>
      <w:r w:rsidR="001A7D19" w:rsidRPr="001A7D19">
        <w:rPr>
          <w:rFonts w:ascii="Times New Roman" w:hAnsi="Times New Roman" w:cs="Times New Roman"/>
          <w:sz w:val="24"/>
          <w:szCs w:val="24"/>
        </w:rPr>
        <w:t xml:space="preserve"> их</w:t>
      </w:r>
      <w:r w:rsidR="001A7D19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1A7D19" w:rsidRPr="001A7D19">
        <w:rPr>
          <w:rFonts w:ascii="Times New Roman" w:hAnsi="Times New Roman" w:cs="Times New Roman"/>
          <w:sz w:val="24"/>
          <w:szCs w:val="24"/>
        </w:rPr>
        <w:t xml:space="preserve">не только увеличивает эффективность терапии, но и снижает риск развития антибиотикорезистентности и частоту побочных эффектов </w:t>
      </w:r>
      <w:r w:rsidR="00551A82" w:rsidRPr="001A7D19">
        <w:rPr>
          <w:rFonts w:ascii="Times New Roman" w:hAnsi="Times New Roman" w:cs="Times New Roman"/>
          <w:sz w:val="24"/>
          <w:szCs w:val="24"/>
        </w:rPr>
        <w:t>[</w:t>
      </w:r>
      <w:r w:rsidR="001A7D19" w:rsidRPr="001A7D19">
        <w:rPr>
          <w:rFonts w:ascii="Times New Roman" w:hAnsi="Times New Roman" w:cs="Times New Roman"/>
          <w:sz w:val="24"/>
          <w:szCs w:val="24"/>
        </w:rPr>
        <w:t>11,12</w:t>
      </w:r>
      <w:r w:rsidR="00551A82" w:rsidRPr="001A7D19">
        <w:rPr>
          <w:rFonts w:ascii="Times New Roman" w:hAnsi="Times New Roman" w:cs="Times New Roman"/>
          <w:sz w:val="24"/>
          <w:szCs w:val="24"/>
        </w:rPr>
        <w:t>].</w:t>
      </w:r>
    </w:p>
    <w:p w14:paraId="2B204323" w14:textId="2A2DCB79" w:rsidR="009331D0" w:rsidRDefault="007020BD" w:rsidP="002279E6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Одним из представителей </w:t>
      </w:r>
      <w:r w:rsidR="00ED52BA">
        <w:rPr>
          <w:rFonts w:ascii="Times New Roman" w:hAnsi="Times New Roman" w:cs="Times New Roman"/>
          <w:sz w:val="24"/>
          <w:szCs w:val="24"/>
        </w:rPr>
        <w:t>АБП</w:t>
      </w:r>
      <w:r w:rsidR="00AF7251" w:rsidRPr="00AF7251">
        <w:rPr>
          <w:rFonts w:ascii="Times New Roman" w:hAnsi="Times New Roman" w:cs="Times New Roman"/>
          <w:sz w:val="24"/>
          <w:szCs w:val="24"/>
        </w:rPr>
        <w:t xml:space="preserve"> в форме диспергируемых</w:t>
      </w:r>
      <w:r w:rsidR="00AF7251">
        <w:rPr>
          <w:rFonts w:ascii="Times New Roman" w:hAnsi="Times New Roman" w:cs="Times New Roman"/>
          <w:sz w:val="24"/>
          <w:szCs w:val="24"/>
        </w:rPr>
        <w:t xml:space="preserve"> </w:t>
      </w:r>
      <w:r w:rsidR="00AF7251" w:rsidRPr="00AF7251">
        <w:rPr>
          <w:rFonts w:ascii="Times New Roman" w:hAnsi="Times New Roman" w:cs="Times New Roman"/>
          <w:sz w:val="24"/>
          <w:szCs w:val="24"/>
        </w:rPr>
        <w:t>таблеток, облада</w:t>
      </w:r>
      <w:r w:rsidR="00AF7251">
        <w:rPr>
          <w:rFonts w:ascii="Times New Roman" w:hAnsi="Times New Roman" w:cs="Times New Roman"/>
          <w:sz w:val="24"/>
          <w:szCs w:val="24"/>
        </w:rPr>
        <w:t>ющих высокой биодоступ</w:t>
      </w:r>
      <w:r w:rsidR="00AF7251" w:rsidRPr="00AF7251">
        <w:rPr>
          <w:rFonts w:ascii="Times New Roman" w:hAnsi="Times New Roman" w:cs="Times New Roman"/>
          <w:sz w:val="24"/>
          <w:szCs w:val="24"/>
        </w:rPr>
        <w:t xml:space="preserve">ностью, является препарат </w:t>
      </w:r>
      <w:r w:rsidR="00AF7251">
        <w:rPr>
          <w:rFonts w:ascii="Times New Roman" w:hAnsi="Times New Roman" w:cs="Times New Roman"/>
          <w:sz w:val="24"/>
          <w:szCs w:val="24"/>
        </w:rPr>
        <w:t>Амоксициллин</w:t>
      </w:r>
      <w:r w:rsidR="002279E6">
        <w:rPr>
          <w:rFonts w:ascii="Times New Roman" w:hAnsi="Times New Roman" w:cs="Times New Roman"/>
          <w:sz w:val="24"/>
          <w:szCs w:val="24"/>
        </w:rPr>
        <w:t xml:space="preserve"> </w:t>
      </w:r>
      <w:r w:rsidR="00AF7251">
        <w:rPr>
          <w:rFonts w:ascii="Times New Roman" w:hAnsi="Times New Roman" w:cs="Times New Roman"/>
          <w:sz w:val="24"/>
          <w:szCs w:val="24"/>
        </w:rPr>
        <w:t>+</w:t>
      </w:r>
      <w:r w:rsidR="002279E6">
        <w:rPr>
          <w:rFonts w:ascii="Times New Roman" w:hAnsi="Times New Roman" w:cs="Times New Roman"/>
          <w:sz w:val="24"/>
          <w:szCs w:val="24"/>
        </w:rPr>
        <w:t xml:space="preserve"> Клавулановая кислота ЭКСПРЕСС (международное непатентованное наименование</w:t>
      </w:r>
      <w:r w:rsidR="006C62CA">
        <w:rPr>
          <w:rFonts w:ascii="Times New Roman" w:hAnsi="Times New Roman" w:cs="Times New Roman"/>
          <w:sz w:val="24"/>
          <w:szCs w:val="24"/>
        </w:rPr>
        <w:t>: амоксициллин + клавулановая кислота,</w:t>
      </w:r>
      <w:r w:rsidR="002279E6">
        <w:rPr>
          <w:rFonts w:ascii="Times New Roman" w:hAnsi="Times New Roman" w:cs="Times New Roman"/>
          <w:sz w:val="24"/>
          <w:szCs w:val="24"/>
        </w:rPr>
        <w:t xml:space="preserve"> </w:t>
      </w:r>
      <w:r w:rsidR="00AF7251" w:rsidRPr="00AF7251">
        <w:rPr>
          <w:rFonts w:ascii="Times New Roman" w:hAnsi="Times New Roman" w:cs="Times New Roman"/>
          <w:sz w:val="24"/>
          <w:szCs w:val="24"/>
        </w:rPr>
        <w:t>АО “Фармстандарт-Лексредства”, Россия</w:t>
      </w:r>
      <w:r w:rsidR="002279E6">
        <w:rPr>
          <w:rFonts w:ascii="Times New Roman" w:hAnsi="Times New Roman" w:cs="Times New Roman"/>
          <w:sz w:val="24"/>
          <w:szCs w:val="24"/>
        </w:rPr>
        <w:t>)</w:t>
      </w:r>
      <w:r w:rsidR="009331D0">
        <w:rPr>
          <w:rFonts w:ascii="Times New Roman" w:hAnsi="Times New Roman" w:cs="Times New Roman"/>
          <w:sz w:val="24"/>
          <w:szCs w:val="24"/>
        </w:rPr>
        <w:t xml:space="preserve">. </w:t>
      </w:r>
      <w:r w:rsidR="009331D0" w:rsidRPr="009331D0">
        <w:rPr>
          <w:rFonts w:ascii="Times New Roman" w:hAnsi="Times New Roman" w:cs="Times New Roman"/>
          <w:sz w:val="24"/>
          <w:szCs w:val="24"/>
        </w:rPr>
        <w:t xml:space="preserve">Режим дозирования, </w:t>
      </w:r>
      <w:r w:rsidR="009331D0">
        <w:rPr>
          <w:rFonts w:ascii="Times New Roman" w:hAnsi="Times New Roman" w:cs="Times New Roman"/>
          <w:sz w:val="24"/>
          <w:szCs w:val="24"/>
        </w:rPr>
        <w:t>действующее вещество</w:t>
      </w:r>
      <w:r w:rsidR="009331D0" w:rsidRPr="009331D0">
        <w:rPr>
          <w:rFonts w:ascii="Times New Roman" w:hAnsi="Times New Roman" w:cs="Times New Roman"/>
          <w:sz w:val="24"/>
          <w:szCs w:val="24"/>
        </w:rPr>
        <w:t xml:space="preserve">, лекарственная форма препарата </w:t>
      </w:r>
      <w:r w:rsidR="009331D0">
        <w:rPr>
          <w:rFonts w:ascii="Times New Roman" w:hAnsi="Times New Roman" w:cs="Times New Roman"/>
          <w:sz w:val="24"/>
          <w:szCs w:val="24"/>
        </w:rPr>
        <w:t>Амоксициллин</w:t>
      </w:r>
      <w:r w:rsidR="006C62CA">
        <w:rPr>
          <w:rFonts w:ascii="Times New Roman" w:hAnsi="Times New Roman" w:cs="Times New Roman"/>
          <w:sz w:val="24"/>
          <w:szCs w:val="24"/>
        </w:rPr>
        <w:t xml:space="preserve"> </w:t>
      </w:r>
      <w:r w:rsidR="009331D0">
        <w:rPr>
          <w:rFonts w:ascii="Times New Roman" w:hAnsi="Times New Roman" w:cs="Times New Roman"/>
          <w:sz w:val="24"/>
          <w:szCs w:val="24"/>
        </w:rPr>
        <w:t>+</w:t>
      </w:r>
      <w:r w:rsidR="006C62CA">
        <w:rPr>
          <w:rFonts w:ascii="Times New Roman" w:hAnsi="Times New Roman" w:cs="Times New Roman"/>
          <w:sz w:val="24"/>
          <w:szCs w:val="24"/>
        </w:rPr>
        <w:t xml:space="preserve"> </w:t>
      </w:r>
      <w:r w:rsidR="009331D0">
        <w:rPr>
          <w:rFonts w:ascii="Times New Roman" w:hAnsi="Times New Roman" w:cs="Times New Roman"/>
          <w:sz w:val="24"/>
          <w:szCs w:val="24"/>
        </w:rPr>
        <w:t>Клавулановая кислота ЭКСПРЕСС</w:t>
      </w:r>
      <w:r w:rsidR="009331D0" w:rsidRPr="009331D0">
        <w:rPr>
          <w:rFonts w:ascii="Times New Roman" w:hAnsi="Times New Roman" w:cs="Times New Roman"/>
          <w:sz w:val="24"/>
          <w:szCs w:val="24"/>
        </w:rPr>
        <w:t xml:space="preserve"> аналогичны </w:t>
      </w:r>
      <w:r w:rsidR="006C62CA">
        <w:rPr>
          <w:rFonts w:ascii="Times New Roman" w:hAnsi="Times New Roman" w:cs="Times New Roman"/>
          <w:sz w:val="24"/>
          <w:szCs w:val="24"/>
        </w:rPr>
        <w:t>референтному оригинальному препарату по данным исследования</w:t>
      </w:r>
      <w:r w:rsidR="009331D0" w:rsidRPr="009331D0">
        <w:rPr>
          <w:rFonts w:ascii="Times New Roman" w:hAnsi="Times New Roman" w:cs="Times New Roman"/>
          <w:sz w:val="24"/>
          <w:szCs w:val="24"/>
        </w:rPr>
        <w:t xml:space="preserve"> биоэквивалентнос</w:t>
      </w:r>
      <w:r w:rsidR="009331D0">
        <w:rPr>
          <w:rFonts w:ascii="Times New Roman" w:hAnsi="Times New Roman" w:cs="Times New Roman"/>
          <w:sz w:val="24"/>
          <w:szCs w:val="24"/>
        </w:rPr>
        <w:t>ти</w:t>
      </w:r>
      <w:r w:rsidR="006C62CA">
        <w:rPr>
          <w:rFonts w:ascii="Times New Roman" w:hAnsi="Times New Roman" w:cs="Times New Roman"/>
          <w:sz w:val="24"/>
          <w:szCs w:val="24"/>
        </w:rPr>
        <w:t xml:space="preserve"> </w:t>
      </w:r>
      <w:r w:rsidR="003175EF" w:rsidRPr="002279E6">
        <w:rPr>
          <w:rFonts w:ascii="Times New Roman" w:hAnsi="Times New Roman" w:cs="Times New Roman"/>
          <w:sz w:val="24"/>
          <w:szCs w:val="24"/>
        </w:rPr>
        <w:t>[</w:t>
      </w:r>
      <w:r w:rsidR="001A7D19">
        <w:rPr>
          <w:rFonts w:ascii="Times New Roman" w:hAnsi="Times New Roman" w:cs="Times New Roman"/>
          <w:sz w:val="24"/>
          <w:szCs w:val="24"/>
        </w:rPr>
        <w:t>13</w:t>
      </w:r>
      <w:r w:rsidR="003175EF" w:rsidRPr="002279E6">
        <w:rPr>
          <w:rFonts w:ascii="Times New Roman" w:hAnsi="Times New Roman" w:cs="Times New Roman"/>
          <w:sz w:val="24"/>
          <w:szCs w:val="24"/>
        </w:rPr>
        <w:t>].</w:t>
      </w:r>
      <w:r w:rsidR="003175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57E9C" w14:textId="13A20C97" w:rsidR="009331D0" w:rsidRPr="002279E6" w:rsidRDefault="006C62C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интерес изучение</w:t>
      </w:r>
      <w:r w:rsidR="0089661A">
        <w:rPr>
          <w:rFonts w:ascii="Times New Roman" w:hAnsi="Times New Roman" w:cs="Times New Roman"/>
          <w:sz w:val="24"/>
          <w:szCs w:val="24"/>
        </w:rPr>
        <w:t xml:space="preserve"> </w:t>
      </w:r>
      <w:r w:rsidR="009331D0" w:rsidRPr="0089661A">
        <w:rPr>
          <w:rFonts w:ascii="Times New Roman" w:hAnsi="Times New Roman" w:cs="Times New Roman"/>
          <w:sz w:val="24"/>
          <w:szCs w:val="24"/>
        </w:rPr>
        <w:t>тер</w:t>
      </w:r>
      <w:r w:rsidR="0089661A" w:rsidRPr="0089661A">
        <w:rPr>
          <w:rFonts w:ascii="Times New Roman" w:hAnsi="Times New Roman" w:cs="Times New Roman"/>
          <w:sz w:val="24"/>
          <w:szCs w:val="24"/>
        </w:rPr>
        <w:t>апевтической</w:t>
      </w:r>
      <w:r w:rsidR="009331D0" w:rsidRPr="0089661A">
        <w:rPr>
          <w:rFonts w:ascii="Times New Roman" w:hAnsi="Times New Roman" w:cs="Times New Roman"/>
          <w:sz w:val="24"/>
          <w:szCs w:val="24"/>
        </w:rPr>
        <w:t xml:space="preserve"> эквив</w:t>
      </w:r>
      <w:r w:rsidR="0089661A" w:rsidRPr="0089661A">
        <w:rPr>
          <w:rFonts w:ascii="Times New Roman" w:hAnsi="Times New Roman" w:cs="Times New Roman"/>
          <w:sz w:val="24"/>
          <w:szCs w:val="24"/>
        </w:rPr>
        <w:t>алентности</w:t>
      </w:r>
      <w:r w:rsidR="009331D0" w:rsidRPr="009331D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сравнение профилей</w:t>
      </w:r>
      <w:r w:rsidR="009331D0" w:rsidRPr="009331D0">
        <w:rPr>
          <w:rFonts w:ascii="Times New Roman" w:hAnsi="Times New Roman" w:cs="Times New Roman"/>
          <w:sz w:val="24"/>
          <w:szCs w:val="24"/>
        </w:rPr>
        <w:t xml:space="preserve"> безопасности </w:t>
      </w:r>
      <w:r w:rsidRPr="009331D0">
        <w:rPr>
          <w:rFonts w:ascii="Times New Roman" w:hAnsi="Times New Roman" w:cs="Times New Roman"/>
          <w:sz w:val="24"/>
          <w:szCs w:val="24"/>
        </w:rPr>
        <w:t>диспергируемых таб</w:t>
      </w:r>
      <w:r>
        <w:rPr>
          <w:rFonts w:ascii="Times New Roman" w:hAnsi="Times New Roman" w:cs="Times New Roman"/>
          <w:sz w:val="24"/>
          <w:szCs w:val="24"/>
        </w:rPr>
        <w:t xml:space="preserve">леток препарата Амоксициллин + Клавулановая кислота ЭКСПРЕСС </w:t>
      </w:r>
      <w:r w:rsidR="00464C94">
        <w:rPr>
          <w:rFonts w:ascii="Times New Roman" w:hAnsi="Times New Roman" w:cs="Times New Roman"/>
          <w:sz w:val="24"/>
          <w:szCs w:val="24"/>
        </w:rPr>
        <w:t xml:space="preserve">и простой таблетированной формы амоксициллина </w:t>
      </w:r>
      <w:r w:rsidR="00DA33DA">
        <w:rPr>
          <w:rFonts w:ascii="Times New Roman" w:hAnsi="Times New Roman" w:cs="Times New Roman"/>
          <w:sz w:val="24"/>
          <w:szCs w:val="24"/>
        </w:rPr>
        <w:t>с клавулановой кислотой в терапии бактериального ОТФ, чем продиктована актуальность настоящего</w:t>
      </w:r>
      <w:r w:rsidR="009331D0" w:rsidRPr="009331D0">
        <w:rPr>
          <w:rFonts w:ascii="Times New Roman" w:hAnsi="Times New Roman" w:cs="Times New Roman"/>
          <w:sz w:val="24"/>
          <w:szCs w:val="24"/>
        </w:rPr>
        <w:t xml:space="preserve"> клин</w:t>
      </w:r>
      <w:r w:rsidR="0089661A">
        <w:rPr>
          <w:rFonts w:ascii="Times New Roman" w:hAnsi="Times New Roman" w:cs="Times New Roman"/>
          <w:sz w:val="24"/>
          <w:szCs w:val="24"/>
        </w:rPr>
        <w:t>ического</w:t>
      </w:r>
      <w:r w:rsidR="009331D0" w:rsidRPr="009331D0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89661A">
        <w:rPr>
          <w:rFonts w:ascii="Times New Roman" w:hAnsi="Times New Roman" w:cs="Times New Roman"/>
          <w:sz w:val="24"/>
          <w:szCs w:val="24"/>
        </w:rPr>
        <w:t>.</w:t>
      </w:r>
    </w:p>
    <w:p w14:paraId="155D6FA0" w14:textId="1B2553DC" w:rsidR="00183ADE" w:rsidRPr="002279E6" w:rsidRDefault="008E6E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9E6">
        <w:rPr>
          <w:rFonts w:ascii="Times New Roman" w:hAnsi="Times New Roman" w:cs="Times New Roman"/>
          <w:b/>
          <w:bCs/>
          <w:sz w:val="24"/>
          <w:szCs w:val="24"/>
        </w:rPr>
        <w:t>Цель исследования:</w:t>
      </w:r>
      <w:r w:rsidR="00A25A85" w:rsidRPr="002279E6">
        <w:rPr>
          <w:rFonts w:ascii="Times New Roman" w:hAnsi="Times New Roman" w:cs="Times New Roman"/>
          <w:sz w:val="24"/>
          <w:szCs w:val="24"/>
        </w:rPr>
        <w:t xml:space="preserve"> </w:t>
      </w:r>
      <w:r w:rsidR="00DA33DA">
        <w:rPr>
          <w:rFonts w:ascii="Times New Roman" w:hAnsi="Times New Roman" w:cs="Times New Roman"/>
          <w:sz w:val="24"/>
          <w:szCs w:val="24"/>
        </w:rPr>
        <w:t>с</w:t>
      </w:r>
      <w:r w:rsidRPr="002279E6">
        <w:rPr>
          <w:rFonts w:ascii="Times New Roman" w:hAnsi="Times New Roman" w:cs="Times New Roman"/>
          <w:sz w:val="24"/>
          <w:szCs w:val="24"/>
        </w:rPr>
        <w:t>равнить</w:t>
      </w:r>
      <w:r w:rsidR="00A25A85" w:rsidRPr="002279E6">
        <w:rPr>
          <w:rFonts w:ascii="Times New Roman" w:hAnsi="Times New Roman" w:cs="Times New Roman"/>
          <w:sz w:val="24"/>
          <w:szCs w:val="24"/>
        </w:rPr>
        <w:t xml:space="preserve"> </w:t>
      </w:r>
      <w:r w:rsidRPr="002279E6">
        <w:rPr>
          <w:rFonts w:ascii="Times New Roman" w:hAnsi="Times New Roman" w:cs="Times New Roman"/>
          <w:sz w:val="24"/>
          <w:szCs w:val="24"/>
        </w:rPr>
        <w:t xml:space="preserve">эффективность и безопасность Амоксициллина + Клавулановой кислоты ЭКСПРЕСС в форме диспергируемых таблеток и амоксициллина с клавулановой кислотой в таблетках, покрытых пленочной оболочкой, в терапии </w:t>
      </w:r>
      <w:r w:rsidR="00DA33DA">
        <w:rPr>
          <w:rFonts w:ascii="Times New Roman" w:hAnsi="Times New Roman" w:cs="Times New Roman"/>
          <w:sz w:val="24"/>
          <w:szCs w:val="24"/>
        </w:rPr>
        <w:t xml:space="preserve">стрептококкового </w:t>
      </w:r>
      <w:r w:rsidR="00207730">
        <w:rPr>
          <w:rFonts w:ascii="Times New Roman" w:hAnsi="Times New Roman" w:cs="Times New Roman"/>
          <w:sz w:val="24"/>
          <w:szCs w:val="24"/>
        </w:rPr>
        <w:t>ОТФ</w:t>
      </w:r>
      <w:r w:rsidRPr="002279E6">
        <w:rPr>
          <w:rFonts w:ascii="Times New Roman" w:hAnsi="Times New Roman" w:cs="Times New Roman"/>
          <w:sz w:val="24"/>
          <w:szCs w:val="24"/>
        </w:rPr>
        <w:t>.</w:t>
      </w:r>
    </w:p>
    <w:p w14:paraId="0D2953E3" w14:textId="627F7CD3" w:rsidR="00E15911" w:rsidRDefault="008E6E2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9E6">
        <w:rPr>
          <w:rFonts w:ascii="Times New Roman" w:hAnsi="Times New Roman" w:cs="Times New Roman"/>
          <w:b/>
          <w:bCs/>
          <w:sz w:val="24"/>
          <w:szCs w:val="24"/>
        </w:rPr>
        <w:t>Материалы и методы</w:t>
      </w:r>
    </w:p>
    <w:p w14:paraId="4FE4907B" w14:textId="62071961" w:rsidR="00856D00" w:rsidRPr="00DA33DA" w:rsidRDefault="00856D0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A33DA">
        <w:rPr>
          <w:rFonts w:ascii="Times New Roman" w:hAnsi="Times New Roman" w:cs="Times New Roman"/>
          <w:bCs/>
          <w:i/>
          <w:sz w:val="24"/>
          <w:szCs w:val="24"/>
        </w:rPr>
        <w:t>Дизайн исследования</w:t>
      </w:r>
    </w:p>
    <w:p w14:paraId="70A0D365" w14:textId="5BCD8018" w:rsidR="00F96CA6" w:rsidRDefault="004630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3DA">
        <w:rPr>
          <w:rFonts w:ascii="Times New Roman" w:hAnsi="Times New Roman" w:cs="Times New Roman"/>
          <w:sz w:val="24"/>
          <w:szCs w:val="24"/>
        </w:rPr>
        <w:t xml:space="preserve">Проведено рандомизированное </w:t>
      </w:r>
      <w:r w:rsidR="00856D00">
        <w:rPr>
          <w:rFonts w:ascii="Times New Roman" w:hAnsi="Times New Roman" w:cs="Times New Roman"/>
          <w:sz w:val="24"/>
          <w:szCs w:val="24"/>
        </w:rPr>
        <w:t>открытое</w:t>
      </w:r>
      <w:r w:rsidR="00856D00" w:rsidRPr="00A41299">
        <w:rPr>
          <w:rFonts w:ascii="Times New Roman" w:hAnsi="Times New Roman" w:cs="Times New Roman"/>
          <w:sz w:val="24"/>
          <w:szCs w:val="24"/>
        </w:rPr>
        <w:t xml:space="preserve"> </w:t>
      </w:r>
      <w:r w:rsidRPr="00DA33DA">
        <w:rPr>
          <w:rFonts w:ascii="Times New Roman" w:hAnsi="Times New Roman" w:cs="Times New Roman"/>
          <w:sz w:val="24"/>
          <w:szCs w:val="24"/>
        </w:rPr>
        <w:t>сравнительное</w:t>
      </w:r>
      <w:r w:rsidR="00856D00" w:rsidRPr="00DA33DA">
        <w:rPr>
          <w:rFonts w:ascii="Times New Roman" w:hAnsi="Times New Roman" w:cs="Times New Roman"/>
          <w:sz w:val="24"/>
          <w:szCs w:val="24"/>
        </w:rPr>
        <w:t xml:space="preserve"> </w:t>
      </w:r>
      <w:r w:rsidRPr="00DA33DA">
        <w:rPr>
          <w:rFonts w:ascii="Times New Roman" w:hAnsi="Times New Roman" w:cs="Times New Roman"/>
          <w:sz w:val="24"/>
          <w:szCs w:val="24"/>
        </w:rPr>
        <w:t>клиническое исследование</w:t>
      </w:r>
      <w:r w:rsidR="0006188C" w:rsidRPr="00DA33DA">
        <w:rPr>
          <w:rFonts w:ascii="Times New Roman" w:hAnsi="Times New Roman" w:cs="Times New Roman"/>
          <w:sz w:val="24"/>
          <w:szCs w:val="24"/>
        </w:rPr>
        <w:t xml:space="preserve">. </w:t>
      </w:r>
      <w:r w:rsidR="00BB4925" w:rsidRPr="00DA33DA">
        <w:rPr>
          <w:rFonts w:ascii="Times New Roman" w:hAnsi="Times New Roman" w:cs="Times New Roman"/>
          <w:sz w:val="24"/>
          <w:szCs w:val="24"/>
        </w:rPr>
        <w:t xml:space="preserve">Клиническое наблюдение за пациентами проводилось в рамках рутинной медицинской практики в соответствии со всеми требованиями регуляторных органов. </w:t>
      </w:r>
      <w:r w:rsidR="0089661A" w:rsidRPr="00D57EAB">
        <w:rPr>
          <w:rFonts w:ascii="Times New Roman" w:hAnsi="Times New Roman" w:cs="Times New Roman"/>
          <w:sz w:val="24"/>
          <w:szCs w:val="24"/>
        </w:rPr>
        <w:t>Все испытуемые подписывали добровольное инфор</w:t>
      </w:r>
      <w:r w:rsidR="00DA33DA">
        <w:rPr>
          <w:rFonts w:ascii="Times New Roman" w:hAnsi="Times New Roman" w:cs="Times New Roman"/>
          <w:sz w:val="24"/>
          <w:szCs w:val="24"/>
        </w:rPr>
        <w:t>мированное согласие на участие до начала</w:t>
      </w:r>
      <w:r w:rsidR="0089661A" w:rsidRPr="00D57EAB">
        <w:rPr>
          <w:rFonts w:ascii="Times New Roman" w:hAnsi="Times New Roman" w:cs="Times New Roman"/>
          <w:sz w:val="24"/>
          <w:szCs w:val="24"/>
        </w:rPr>
        <w:t xml:space="preserve"> </w:t>
      </w:r>
      <w:r w:rsidR="00DA33DA">
        <w:rPr>
          <w:rFonts w:ascii="Times New Roman" w:hAnsi="Times New Roman" w:cs="Times New Roman"/>
          <w:sz w:val="24"/>
          <w:szCs w:val="24"/>
        </w:rPr>
        <w:t>исследования</w:t>
      </w:r>
      <w:r w:rsidR="0089661A" w:rsidRPr="00D57E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6928F9" w14:textId="12A5C9B8" w:rsidR="00F96CA6" w:rsidRDefault="00F96C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3DA">
        <w:rPr>
          <w:rFonts w:ascii="Times New Roman" w:hAnsi="Times New Roman" w:cs="Times New Roman"/>
          <w:i/>
          <w:sz w:val="24"/>
          <w:szCs w:val="24"/>
        </w:rPr>
        <w:t>Критерии включения: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33DA">
        <w:rPr>
          <w:rFonts w:ascii="Times New Roman" w:hAnsi="Times New Roman" w:cs="Times New Roman"/>
          <w:sz w:val="24"/>
          <w:szCs w:val="24"/>
        </w:rPr>
        <w:t>п</w:t>
      </w:r>
      <w:r w:rsidRPr="00F96CA6">
        <w:rPr>
          <w:rFonts w:ascii="Times New Roman" w:hAnsi="Times New Roman" w:cs="Times New Roman"/>
          <w:sz w:val="24"/>
          <w:szCs w:val="24"/>
        </w:rPr>
        <w:t>ациенты мужского и женского пола старше 18 лет;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F96CA6">
        <w:rPr>
          <w:rFonts w:ascii="Times New Roman" w:hAnsi="Times New Roman" w:cs="Times New Roman"/>
          <w:sz w:val="24"/>
          <w:szCs w:val="24"/>
        </w:rPr>
        <w:t xml:space="preserve">аличие письменного информированного согласия пациента на включение в </w:t>
      </w:r>
      <w:r>
        <w:rPr>
          <w:rFonts w:ascii="Times New Roman" w:hAnsi="Times New Roman" w:cs="Times New Roman"/>
          <w:sz w:val="24"/>
          <w:szCs w:val="24"/>
        </w:rPr>
        <w:t xml:space="preserve">исследование; </w:t>
      </w: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F96CA6">
        <w:rPr>
          <w:rFonts w:ascii="Times New Roman" w:hAnsi="Times New Roman" w:cs="Times New Roman"/>
          <w:sz w:val="24"/>
          <w:szCs w:val="24"/>
        </w:rPr>
        <w:t xml:space="preserve">ациенты, способные выполнять процедуры </w:t>
      </w:r>
      <w:r>
        <w:rPr>
          <w:rFonts w:ascii="Times New Roman" w:hAnsi="Times New Roman" w:cs="Times New Roman"/>
          <w:sz w:val="24"/>
          <w:szCs w:val="24"/>
        </w:rPr>
        <w:t>исследования</w:t>
      </w:r>
      <w:r w:rsidRPr="00F96CA6">
        <w:rPr>
          <w:rFonts w:ascii="Times New Roman" w:hAnsi="Times New Roman" w:cs="Times New Roman"/>
          <w:sz w:val="24"/>
          <w:szCs w:val="24"/>
        </w:rPr>
        <w:t xml:space="preserve"> и строго соблюдать указания врача относительно медикаментозной терапии;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F96CA6">
        <w:rPr>
          <w:rFonts w:ascii="Times New Roman" w:hAnsi="Times New Roman" w:cs="Times New Roman"/>
          <w:sz w:val="24"/>
          <w:szCs w:val="24"/>
        </w:rPr>
        <w:t>иагноз «острый ст</w:t>
      </w:r>
      <w:r>
        <w:rPr>
          <w:rFonts w:ascii="Times New Roman" w:hAnsi="Times New Roman" w:cs="Times New Roman"/>
          <w:sz w:val="24"/>
          <w:szCs w:val="24"/>
        </w:rPr>
        <w:t xml:space="preserve">рептококковый тонзиллофарингит», </w:t>
      </w:r>
      <w:r w:rsidRPr="00F96CA6">
        <w:rPr>
          <w:rFonts w:ascii="Times New Roman" w:hAnsi="Times New Roman" w:cs="Times New Roman"/>
          <w:sz w:val="24"/>
          <w:szCs w:val="24"/>
        </w:rPr>
        <w:t>подтвержденный результатами экспресс-теста для выявления антигенов стрептококка группы А в мазке с задней стенки глотки</w:t>
      </w:r>
      <w:r w:rsidR="00DD17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CA6">
        <w:rPr>
          <w:rFonts w:ascii="Times New Roman" w:hAnsi="Times New Roman" w:cs="Times New Roman"/>
          <w:sz w:val="24"/>
          <w:szCs w:val="24"/>
        </w:rPr>
        <w:t>соответствующий критериям МакАйзека</w:t>
      </w:r>
      <w:r w:rsidR="00BA7804">
        <w:rPr>
          <w:rFonts w:ascii="Times New Roman" w:hAnsi="Times New Roman" w:cs="Times New Roman"/>
          <w:sz w:val="24"/>
          <w:szCs w:val="24"/>
        </w:rPr>
        <w:t xml:space="preserve"> </w:t>
      </w:r>
      <w:r w:rsidR="00BA7804" w:rsidRPr="00DA33DA">
        <w:rPr>
          <w:rFonts w:ascii="Times New Roman" w:hAnsi="Times New Roman" w:cs="Times New Roman"/>
          <w:sz w:val="24"/>
          <w:szCs w:val="24"/>
        </w:rPr>
        <w:t>[</w:t>
      </w:r>
      <w:r w:rsidR="000453F5">
        <w:rPr>
          <w:rFonts w:ascii="Times New Roman" w:hAnsi="Times New Roman" w:cs="Times New Roman"/>
          <w:sz w:val="24"/>
          <w:szCs w:val="24"/>
        </w:rPr>
        <w:t>14,</w:t>
      </w:r>
      <w:r w:rsidR="00F54131">
        <w:rPr>
          <w:rFonts w:ascii="Times New Roman" w:hAnsi="Times New Roman" w:cs="Times New Roman"/>
          <w:sz w:val="24"/>
          <w:szCs w:val="24"/>
        </w:rPr>
        <w:t>15</w:t>
      </w:r>
      <w:r w:rsidR="00BA7804" w:rsidRPr="00DA33DA">
        <w:rPr>
          <w:rFonts w:ascii="Times New Roman" w:hAnsi="Times New Roman" w:cs="Times New Roman"/>
          <w:sz w:val="24"/>
          <w:szCs w:val="24"/>
        </w:rPr>
        <w:t>]</w:t>
      </w:r>
      <w:r w:rsidRPr="00F96CA6">
        <w:rPr>
          <w:rFonts w:ascii="Times New Roman" w:hAnsi="Times New Roman" w:cs="Times New Roman"/>
          <w:sz w:val="24"/>
          <w:szCs w:val="24"/>
        </w:rPr>
        <w:t>.</w:t>
      </w:r>
    </w:p>
    <w:p w14:paraId="175FAD53" w14:textId="4AD01EC4" w:rsidR="00F96CA6" w:rsidRDefault="00F96C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3DA">
        <w:rPr>
          <w:rFonts w:ascii="Times New Roman" w:hAnsi="Times New Roman" w:cs="Times New Roman"/>
          <w:i/>
          <w:sz w:val="24"/>
          <w:szCs w:val="24"/>
        </w:rPr>
        <w:t>Критерии невключения</w:t>
      </w:r>
      <w:r w:rsidRPr="00F96CA6">
        <w:rPr>
          <w:rFonts w:ascii="Times New Roman" w:hAnsi="Times New Roman" w:cs="Times New Roman"/>
          <w:sz w:val="24"/>
          <w:szCs w:val="24"/>
        </w:rPr>
        <w:t>:</w:t>
      </w:r>
      <w:r w:rsidRPr="00DA3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33DA">
        <w:rPr>
          <w:rFonts w:ascii="Times New Roman" w:hAnsi="Times New Roman" w:cs="Times New Roman"/>
          <w:sz w:val="24"/>
          <w:szCs w:val="24"/>
        </w:rPr>
        <w:t>ндивидуальная непереносимость компонентов препаратов в анамнезе;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DA33DA">
        <w:rPr>
          <w:rFonts w:ascii="Times New Roman" w:hAnsi="Times New Roman" w:cs="Times New Roman"/>
          <w:sz w:val="24"/>
          <w:szCs w:val="24"/>
        </w:rPr>
        <w:t>аличие аллергии и/или непереносимости бета-лактамных антибактериальных препаратов;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A33DA">
        <w:rPr>
          <w:rFonts w:ascii="Times New Roman" w:hAnsi="Times New Roman" w:cs="Times New Roman"/>
          <w:sz w:val="24"/>
          <w:szCs w:val="24"/>
        </w:rPr>
        <w:t xml:space="preserve">тказ подписать информированное согласие на участие в </w:t>
      </w:r>
      <w:r>
        <w:rPr>
          <w:rFonts w:ascii="Times New Roman" w:hAnsi="Times New Roman" w:cs="Times New Roman"/>
          <w:sz w:val="24"/>
          <w:szCs w:val="24"/>
        </w:rPr>
        <w:t>исследование</w:t>
      </w:r>
      <w:r w:rsidRPr="00DA33D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DA33DA">
        <w:rPr>
          <w:rFonts w:ascii="Times New Roman" w:hAnsi="Times New Roman" w:cs="Times New Roman"/>
          <w:sz w:val="24"/>
          <w:szCs w:val="24"/>
        </w:rPr>
        <w:t>аличие сопутствующих соматических заболеваний в стадии обострения и декомпенсации;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A33DA">
        <w:rPr>
          <w:rFonts w:ascii="Times New Roman" w:hAnsi="Times New Roman" w:cs="Times New Roman"/>
          <w:sz w:val="24"/>
          <w:szCs w:val="24"/>
        </w:rPr>
        <w:t>ммуносупрессивное состояние;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DA33DA">
        <w:rPr>
          <w:rFonts w:ascii="Times New Roman" w:hAnsi="Times New Roman" w:cs="Times New Roman"/>
          <w:sz w:val="24"/>
          <w:szCs w:val="24"/>
        </w:rPr>
        <w:t>аличие других инфекционных заболеваний;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DA33DA">
        <w:rPr>
          <w:rFonts w:ascii="Times New Roman" w:hAnsi="Times New Roman" w:cs="Times New Roman"/>
          <w:sz w:val="24"/>
          <w:szCs w:val="24"/>
        </w:rPr>
        <w:t>яжелые психические отклонения;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A33DA">
        <w:rPr>
          <w:rFonts w:ascii="Times New Roman" w:hAnsi="Times New Roman" w:cs="Times New Roman"/>
          <w:sz w:val="24"/>
          <w:szCs w:val="24"/>
        </w:rPr>
        <w:t>нкологические заболевания;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DA33DA">
        <w:rPr>
          <w:rFonts w:ascii="Times New Roman" w:hAnsi="Times New Roman" w:cs="Times New Roman"/>
          <w:sz w:val="24"/>
          <w:szCs w:val="24"/>
        </w:rPr>
        <w:t>яжелое органическое поражение печени и/или почек;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A33DA">
        <w:rPr>
          <w:rFonts w:ascii="Times New Roman" w:hAnsi="Times New Roman" w:cs="Times New Roman"/>
          <w:sz w:val="24"/>
          <w:szCs w:val="24"/>
        </w:rPr>
        <w:t xml:space="preserve">рием амоксициллина с клавулановой кислотой в течение 3 месяцев, предшествовавших началу </w:t>
      </w:r>
      <w:r>
        <w:rPr>
          <w:rFonts w:ascii="Times New Roman" w:hAnsi="Times New Roman" w:cs="Times New Roman"/>
          <w:sz w:val="24"/>
          <w:szCs w:val="24"/>
        </w:rPr>
        <w:t>исследования</w:t>
      </w:r>
      <w:r w:rsidRPr="00DA33D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DA33DA">
        <w:rPr>
          <w:rFonts w:ascii="Times New Roman" w:hAnsi="Times New Roman" w:cs="Times New Roman"/>
          <w:sz w:val="24"/>
          <w:szCs w:val="24"/>
        </w:rPr>
        <w:t>еобходимость назначения других антибактериальных препаратов;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A33DA">
        <w:rPr>
          <w:rFonts w:ascii="Times New Roman" w:hAnsi="Times New Roman" w:cs="Times New Roman"/>
          <w:sz w:val="24"/>
          <w:szCs w:val="24"/>
        </w:rPr>
        <w:t>рием пробенецида, аллопуринола, метотрексата, микофенолата мофетила, антикоагулянтов, любых препаратов симптоматической терапии для уменьшения боли в горле (анальгетики, анестетики, антисептики и другие в любой лекарственной форме);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DA33DA">
        <w:rPr>
          <w:rFonts w:ascii="Times New Roman" w:hAnsi="Times New Roman" w:cs="Times New Roman"/>
          <w:sz w:val="24"/>
          <w:szCs w:val="24"/>
        </w:rPr>
        <w:t>есоответствие критериям включения.</w:t>
      </w:r>
    </w:p>
    <w:p w14:paraId="78B5EC44" w14:textId="77777777" w:rsidR="00DD1765" w:rsidRDefault="00E55991" w:rsidP="00DD1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765">
        <w:rPr>
          <w:rFonts w:ascii="Times New Roman" w:hAnsi="Times New Roman" w:cs="Times New Roman"/>
          <w:i/>
          <w:sz w:val="24"/>
          <w:szCs w:val="24"/>
        </w:rPr>
        <w:t>Критерии исключения</w:t>
      </w:r>
      <w:r>
        <w:rPr>
          <w:rFonts w:ascii="Times New Roman" w:hAnsi="Times New Roman" w:cs="Times New Roman"/>
          <w:sz w:val="24"/>
          <w:szCs w:val="24"/>
        </w:rPr>
        <w:t>: доб</w:t>
      </w:r>
      <w:r w:rsidRPr="00E55991">
        <w:rPr>
          <w:rFonts w:ascii="Times New Roman" w:hAnsi="Times New Roman" w:cs="Times New Roman"/>
          <w:sz w:val="24"/>
          <w:szCs w:val="24"/>
        </w:rPr>
        <w:t xml:space="preserve">ровольный отказ пациента от участия в </w:t>
      </w:r>
      <w:r>
        <w:rPr>
          <w:rFonts w:ascii="Times New Roman" w:hAnsi="Times New Roman" w:cs="Times New Roman"/>
          <w:sz w:val="24"/>
          <w:szCs w:val="24"/>
        </w:rPr>
        <w:t>исследовании</w:t>
      </w:r>
      <w:r w:rsidRPr="00E5599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Pr="00E55991">
        <w:rPr>
          <w:rFonts w:ascii="Times New Roman" w:hAnsi="Times New Roman" w:cs="Times New Roman"/>
          <w:sz w:val="24"/>
          <w:szCs w:val="24"/>
        </w:rPr>
        <w:t>звитие серьезных нежелательных реакций;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55991">
        <w:rPr>
          <w:rFonts w:ascii="Times New Roman" w:hAnsi="Times New Roman" w:cs="Times New Roman"/>
          <w:sz w:val="24"/>
          <w:szCs w:val="24"/>
        </w:rPr>
        <w:t>озникновение неблагоприятных явлений и реакций, не отвечающих критериям серьезности, п</w:t>
      </w:r>
      <w:r w:rsidR="00DD1765">
        <w:rPr>
          <w:rFonts w:ascii="Times New Roman" w:hAnsi="Times New Roman" w:cs="Times New Roman"/>
          <w:sz w:val="24"/>
          <w:szCs w:val="24"/>
        </w:rPr>
        <w:t>ри развитии которых, по мнению и</w:t>
      </w:r>
      <w:r w:rsidRPr="00E55991">
        <w:rPr>
          <w:rFonts w:ascii="Times New Roman" w:hAnsi="Times New Roman" w:cs="Times New Roman"/>
          <w:sz w:val="24"/>
          <w:szCs w:val="24"/>
        </w:rPr>
        <w:t xml:space="preserve">сследователя, дальнейшее участие в </w:t>
      </w:r>
      <w:r>
        <w:rPr>
          <w:rFonts w:ascii="Times New Roman" w:hAnsi="Times New Roman" w:cs="Times New Roman"/>
          <w:sz w:val="24"/>
          <w:szCs w:val="24"/>
        </w:rPr>
        <w:t>исследовании</w:t>
      </w:r>
      <w:r w:rsidRPr="00E55991">
        <w:rPr>
          <w:rFonts w:ascii="Times New Roman" w:hAnsi="Times New Roman" w:cs="Times New Roman"/>
          <w:sz w:val="24"/>
          <w:szCs w:val="24"/>
        </w:rPr>
        <w:t xml:space="preserve"> может оказать негативное влияние на здоровье или благополучие пациента;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55991">
        <w:rPr>
          <w:rFonts w:ascii="Times New Roman" w:hAnsi="Times New Roman" w:cs="Times New Roman"/>
          <w:sz w:val="24"/>
          <w:szCs w:val="24"/>
        </w:rPr>
        <w:t xml:space="preserve">азвитие в процессе лечения состояний, ассоциирующихся с критериями невключения, которых не было на момент включения в </w:t>
      </w:r>
      <w:r>
        <w:rPr>
          <w:rFonts w:ascii="Times New Roman" w:hAnsi="Times New Roman" w:cs="Times New Roman"/>
          <w:sz w:val="24"/>
          <w:szCs w:val="24"/>
        </w:rPr>
        <w:t>исследования</w:t>
      </w:r>
      <w:r w:rsidRPr="00E5599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55991">
        <w:rPr>
          <w:rFonts w:ascii="Times New Roman" w:hAnsi="Times New Roman" w:cs="Times New Roman"/>
          <w:sz w:val="24"/>
          <w:szCs w:val="24"/>
        </w:rPr>
        <w:t xml:space="preserve">тсутствие динамики или отрицательная динамика клинических симптомов </w:t>
      </w:r>
      <w:r w:rsidR="00207730">
        <w:rPr>
          <w:rFonts w:ascii="Times New Roman" w:hAnsi="Times New Roman" w:cs="Times New Roman"/>
          <w:sz w:val="24"/>
          <w:szCs w:val="24"/>
        </w:rPr>
        <w:t>ОТФ</w:t>
      </w:r>
      <w:r w:rsidRPr="00E55991">
        <w:rPr>
          <w:rFonts w:ascii="Times New Roman" w:hAnsi="Times New Roman" w:cs="Times New Roman"/>
          <w:sz w:val="24"/>
          <w:szCs w:val="24"/>
        </w:rPr>
        <w:t xml:space="preserve"> на 3 день проводимой терапии;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55991">
        <w:rPr>
          <w:rFonts w:ascii="Times New Roman" w:hAnsi="Times New Roman" w:cs="Times New Roman"/>
          <w:sz w:val="24"/>
          <w:szCs w:val="24"/>
        </w:rPr>
        <w:t>рием любых препаратов, относящихся к запрещенным;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Pr="00E55991">
        <w:rPr>
          <w:rFonts w:ascii="Times New Roman" w:hAnsi="Times New Roman" w:cs="Times New Roman"/>
          <w:sz w:val="24"/>
          <w:szCs w:val="24"/>
        </w:rPr>
        <w:t xml:space="preserve">наружение несоответствия пациента требованиям протокола после включения в </w:t>
      </w:r>
      <w:r>
        <w:rPr>
          <w:rFonts w:ascii="Times New Roman" w:hAnsi="Times New Roman" w:cs="Times New Roman"/>
          <w:sz w:val="24"/>
          <w:szCs w:val="24"/>
        </w:rPr>
        <w:t>исследование</w:t>
      </w:r>
      <w:r w:rsidRPr="00E559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3996E" w14:textId="6C5AF6AB" w:rsidR="00DD1765" w:rsidRDefault="00DD1765" w:rsidP="00DD1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765">
        <w:rPr>
          <w:rFonts w:ascii="Times New Roman" w:hAnsi="Times New Roman" w:cs="Times New Roman"/>
          <w:sz w:val="24"/>
          <w:szCs w:val="24"/>
        </w:rPr>
        <w:t>Случаев исключения пациентов из исследования не было.</w:t>
      </w:r>
    </w:p>
    <w:p w14:paraId="62A32841" w14:textId="77777777" w:rsidR="00DD1765" w:rsidRPr="00DD1765" w:rsidRDefault="00DD1765" w:rsidP="00DD1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765">
        <w:rPr>
          <w:rFonts w:ascii="Times New Roman" w:hAnsi="Times New Roman" w:cs="Times New Roman"/>
          <w:sz w:val="24"/>
          <w:szCs w:val="24"/>
        </w:rPr>
        <w:t>Все прошедшие скрининг пациенты (n=60) были рандомизированы в две группы терапии в соотношении 1:1 методом непрозрачных запечатанных и последовательно пронумерованных конвертов.</w:t>
      </w:r>
    </w:p>
    <w:p w14:paraId="2BEA5A64" w14:textId="3785AC70" w:rsidR="00ED0D14" w:rsidRPr="00DD1765" w:rsidRDefault="00DD1765" w:rsidP="00DD1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765">
        <w:rPr>
          <w:rFonts w:ascii="Times New Roman" w:hAnsi="Times New Roman" w:cs="Times New Roman"/>
          <w:sz w:val="24"/>
          <w:szCs w:val="24"/>
        </w:rPr>
        <w:t xml:space="preserve">Пациенты группы 1 (n=30) получали препарат Амоксициллин + Клавулановая кислота ЭКСПРЕСС в форме диспергируемых таблеток по 875 мг + 125 мг 2 раза в сутки в начале приема пищи. </w:t>
      </w:r>
      <w:r>
        <w:rPr>
          <w:rFonts w:ascii="Times New Roman" w:hAnsi="Times New Roman" w:cs="Times New Roman"/>
          <w:sz w:val="24"/>
          <w:szCs w:val="24"/>
        </w:rPr>
        <w:t>Пациенты группы 2 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D1765">
        <w:rPr>
          <w:rFonts w:ascii="Times New Roman" w:hAnsi="Times New Roman" w:cs="Times New Roman"/>
          <w:sz w:val="24"/>
          <w:szCs w:val="24"/>
        </w:rPr>
        <w:t>=30</w:t>
      </w:r>
      <w:r>
        <w:rPr>
          <w:rFonts w:ascii="Times New Roman" w:hAnsi="Times New Roman" w:cs="Times New Roman"/>
          <w:sz w:val="24"/>
          <w:szCs w:val="24"/>
        </w:rPr>
        <w:t>) получали амоксициллин + клавулановую кислоту</w:t>
      </w:r>
      <w:r w:rsidRPr="00DD1765">
        <w:rPr>
          <w:rFonts w:ascii="Times New Roman" w:hAnsi="Times New Roman" w:cs="Times New Roman"/>
          <w:sz w:val="24"/>
          <w:szCs w:val="24"/>
        </w:rPr>
        <w:t xml:space="preserve"> (препарат Амоксиклав) в таблетках, покрытых пленочной оболочкой по 875 мг + </w:t>
      </w:r>
      <w:r w:rsidRPr="00DD1765">
        <w:rPr>
          <w:rFonts w:ascii="Times New Roman" w:hAnsi="Times New Roman" w:cs="Times New Roman"/>
          <w:sz w:val="24"/>
          <w:szCs w:val="24"/>
        </w:rPr>
        <w:lastRenderedPageBreak/>
        <w:t>125 мг 2 раза в сутки в начале приема пищи. Длительность курса лечения в обеих группах составила 10 дней.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2A60D" w14:textId="1C0E2603" w:rsidR="00FC5B9E" w:rsidRDefault="00FC5B9E" w:rsidP="00FC5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C92">
        <w:rPr>
          <w:rFonts w:ascii="Times New Roman" w:hAnsi="Times New Roman" w:cs="Times New Roman"/>
          <w:sz w:val="24"/>
          <w:szCs w:val="24"/>
        </w:rPr>
        <w:t xml:space="preserve">Все пациенты </w:t>
      </w:r>
      <w:r w:rsidR="00DD1765">
        <w:rPr>
          <w:rFonts w:ascii="Times New Roman" w:hAnsi="Times New Roman" w:cs="Times New Roman"/>
          <w:sz w:val="24"/>
          <w:szCs w:val="24"/>
        </w:rPr>
        <w:t>прошли</w:t>
      </w:r>
      <w:r w:rsidRPr="00D76C92">
        <w:rPr>
          <w:rFonts w:ascii="Times New Roman" w:hAnsi="Times New Roman" w:cs="Times New Roman"/>
          <w:sz w:val="24"/>
          <w:szCs w:val="24"/>
        </w:rPr>
        <w:t xml:space="preserve"> клиническое обследование для постановки диагноза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765">
        <w:rPr>
          <w:rFonts w:ascii="Times New Roman" w:hAnsi="Times New Roman" w:cs="Times New Roman"/>
          <w:sz w:val="24"/>
          <w:szCs w:val="24"/>
        </w:rPr>
        <w:t>«острый стрептококовый тонзиллофарингит»</w:t>
      </w:r>
      <w:r w:rsidRPr="00D76C92">
        <w:rPr>
          <w:rFonts w:ascii="Times New Roman" w:hAnsi="Times New Roman" w:cs="Times New Roman"/>
          <w:sz w:val="24"/>
          <w:szCs w:val="24"/>
        </w:rPr>
        <w:t>, включающее сбор</w:t>
      </w:r>
      <w:r>
        <w:rPr>
          <w:rFonts w:ascii="Times New Roman" w:hAnsi="Times New Roman" w:cs="Times New Roman"/>
          <w:sz w:val="24"/>
          <w:szCs w:val="24"/>
        </w:rPr>
        <w:t xml:space="preserve"> жалоб,</w:t>
      </w:r>
      <w:r w:rsidRPr="00D76C92">
        <w:rPr>
          <w:rFonts w:ascii="Times New Roman" w:hAnsi="Times New Roman" w:cs="Times New Roman"/>
          <w:sz w:val="24"/>
          <w:szCs w:val="24"/>
        </w:rPr>
        <w:t xml:space="preserve"> медицинского анамнеза, общеклинический и</w:t>
      </w:r>
      <w:r w:rsidRPr="009246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оториноларингологический осмотр с оценкой симптомов ОТФ по </w:t>
      </w:r>
      <w:r w:rsidR="00085E05">
        <w:rPr>
          <w:rFonts w:ascii="Times New Roman" w:hAnsi="Times New Roman" w:cs="Times New Roman"/>
          <w:sz w:val="24"/>
          <w:szCs w:val="24"/>
        </w:rPr>
        <w:t>шкале Мак</w:t>
      </w:r>
      <w:r w:rsidRPr="00F473D4">
        <w:rPr>
          <w:rFonts w:ascii="Times New Roman" w:hAnsi="Times New Roman" w:cs="Times New Roman"/>
          <w:sz w:val="24"/>
          <w:szCs w:val="24"/>
        </w:rPr>
        <w:t>Айзека</w:t>
      </w:r>
      <w:r w:rsidR="00951072">
        <w:rPr>
          <w:rFonts w:ascii="Times New Roman" w:hAnsi="Times New Roman" w:cs="Times New Roman"/>
          <w:sz w:val="24"/>
          <w:szCs w:val="24"/>
        </w:rPr>
        <w:t xml:space="preserve"> (</w:t>
      </w:r>
      <w:r w:rsidR="00085E05">
        <w:rPr>
          <w:rFonts w:ascii="Times New Roman" w:hAnsi="Times New Roman" w:cs="Times New Roman"/>
          <w:sz w:val="24"/>
          <w:szCs w:val="24"/>
        </w:rPr>
        <w:t>табл.</w:t>
      </w:r>
      <w:r w:rsidR="00951072">
        <w:rPr>
          <w:rFonts w:ascii="Times New Roman" w:hAnsi="Times New Roman" w:cs="Times New Roman"/>
          <w:sz w:val="24"/>
          <w:szCs w:val="24"/>
        </w:rPr>
        <w:t xml:space="preserve"> 1)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F473D4">
        <w:rPr>
          <w:rFonts w:ascii="Times New Roman" w:hAnsi="Times New Roman" w:cs="Times New Roman"/>
          <w:sz w:val="24"/>
          <w:szCs w:val="24"/>
        </w:rPr>
        <w:t>экспресс-тест для выявления антигенов стрептококка группы А в мазке с задней стенки глотки (стрептатест)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A9A079" w14:textId="77777777" w:rsidR="00951072" w:rsidRDefault="00951072" w:rsidP="00FC5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755E43" w14:textId="0921CEC9" w:rsidR="00951072" w:rsidRPr="00DD1765" w:rsidRDefault="00DD1765" w:rsidP="00DD17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1. Шкала МакАйзека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4105"/>
      </w:tblGrid>
      <w:tr w:rsidR="00951072" w:rsidRPr="00951072" w14:paraId="5F2C445A" w14:textId="77777777" w:rsidTr="00DD1765">
        <w:tc>
          <w:tcPr>
            <w:tcW w:w="1271" w:type="dxa"/>
            <w:vMerge w:val="restart"/>
          </w:tcPr>
          <w:p w14:paraId="14E03FCA" w14:textId="17F673CB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765">
              <w:rPr>
                <w:rFonts w:ascii="Times New Roman" w:hAnsi="Times New Roman" w:cs="Times New Roman"/>
                <w:szCs w:val="24"/>
              </w:rPr>
              <w:t>Балльная оценка</w:t>
            </w:r>
          </w:p>
        </w:tc>
        <w:tc>
          <w:tcPr>
            <w:tcW w:w="3969" w:type="dxa"/>
            <w:gridSpan w:val="2"/>
          </w:tcPr>
          <w:p w14:paraId="4EEEEFEE" w14:textId="7D5559D1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765">
              <w:rPr>
                <w:rFonts w:ascii="Times New Roman" w:hAnsi="Times New Roman" w:cs="Times New Roman"/>
                <w:szCs w:val="24"/>
              </w:rPr>
              <w:t>Вероятность наличия стрептококковой инфекции</w:t>
            </w:r>
          </w:p>
        </w:tc>
        <w:tc>
          <w:tcPr>
            <w:tcW w:w="4105" w:type="dxa"/>
            <w:vMerge w:val="restart"/>
          </w:tcPr>
          <w:p w14:paraId="3F774F5C" w14:textId="38E27DC1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765">
              <w:rPr>
                <w:rFonts w:ascii="Times New Roman" w:hAnsi="Times New Roman" w:cs="Times New Roman"/>
                <w:szCs w:val="24"/>
              </w:rPr>
              <w:t>Предлагаемая тактика ведения пациента</w:t>
            </w:r>
          </w:p>
        </w:tc>
      </w:tr>
      <w:tr w:rsidR="00951072" w:rsidRPr="00951072" w14:paraId="55AA4EEA" w14:textId="77777777" w:rsidTr="00DD1765">
        <w:tc>
          <w:tcPr>
            <w:tcW w:w="1271" w:type="dxa"/>
            <w:vMerge/>
          </w:tcPr>
          <w:p w14:paraId="6FB6A2A1" w14:textId="77777777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14:paraId="7BC85BB1" w14:textId="3650B3ED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765">
              <w:rPr>
                <w:rFonts w:ascii="Times New Roman" w:hAnsi="Times New Roman" w:cs="Times New Roman"/>
                <w:szCs w:val="24"/>
              </w:rPr>
              <w:t xml:space="preserve">Пациенты </w:t>
            </w:r>
            <w:r>
              <w:rPr>
                <w:rFonts w:ascii="Times New Roman" w:hAnsi="Times New Roman" w:cs="Times New Roman"/>
                <w:szCs w:val="24"/>
              </w:rPr>
              <w:t xml:space="preserve">≥ </w:t>
            </w:r>
            <w:r w:rsidRPr="00DD1765">
              <w:rPr>
                <w:rFonts w:ascii="Times New Roman" w:hAnsi="Times New Roman" w:cs="Times New Roman"/>
                <w:szCs w:val="24"/>
              </w:rPr>
              <w:t>15 лет</w:t>
            </w:r>
          </w:p>
        </w:tc>
        <w:tc>
          <w:tcPr>
            <w:tcW w:w="1984" w:type="dxa"/>
          </w:tcPr>
          <w:p w14:paraId="4C89E616" w14:textId="0C771598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765">
              <w:rPr>
                <w:rFonts w:ascii="Times New Roman" w:hAnsi="Times New Roman" w:cs="Times New Roman"/>
                <w:szCs w:val="24"/>
              </w:rPr>
              <w:t>Пациенты 3-14 лет</w:t>
            </w:r>
          </w:p>
        </w:tc>
        <w:tc>
          <w:tcPr>
            <w:tcW w:w="4105" w:type="dxa"/>
            <w:vMerge/>
          </w:tcPr>
          <w:p w14:paraId="614CAD89" w14:textId="77777777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51072" w:rsidRPr="00951072" w14:paraId="15D2A579" w14:textId="77777777" w:rsidTr="00DD1765">
        <w:trPr>
          <w:trHeight w:val="377"/>
        </w:trPr>
        <w:tc>
          <w:tcPr>
            <w:tcW w:w="1271" w:type="dxa"/>
          </w:tcPr>
          <w:p w14:paraId="404718EC" w14:textId="59643C15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765">
              <w:rPr>
                <w:rFonts w:ascii="Times New Roman" w:hAnsi="Times New Roman" w:cs="Times New Roman"/>
                <w:szCs w:val="24"/>
              </w:rPr>
              <w:t>0 баллов</w:t>
            </w:r>
          </w:p>
        </w:tc>
        <w:tc>
          <w:tcPr>
            <w:tcW w:w="1985" w:type="dxa"/>
          </w:tcPr>
          <w:p w14:paraId="0293E29D" w14:textId="48DD2F6B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765">
              <w:rPr>
                <w:rFonts w:ascii="Times New Roman" w:hAnsi="Times New Roman" w:cs="Times New Roman"/>
                <w:szCs w:val="24"/>
              </w:rPr>
              <w:t>7%</w:t>
            </w:r>
          </w:p>
        </w:tc>
        <w:tc>
          <w:tcPr>
            <w:tcW w:w="1984" w:type="dxa"/>
          </w:tcPr>
          <w:p w14:paraId="7E696272" w14:textId="4F92242B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765">
              <w:rPr>
                <w:rFonts w:ascii="Times New Roman" w:hAnsi="Times New Roman" w:cs="Times New Roman"/>
                <w:szCs w:val="24"/>
              </w:rPr>
              <w:t>8%</w:t>
            </w:r>
          </w:p>
        </w:tc>
        <w:tc>
          <w:tcPr>
            <w:tcW w:w="4105" w:type="dxa"/>
            <w:vMerge w:val="restart"/>
          </w:tcPr>
          <w:p w14:paraId="2BF29F36" w14:textId="1F1EC3F3" w:rsidR="00951072" w:rsidRPr="00DD1765" w:rsidRDefault="00951072" w:rsidP="00414A22">
            <w:pPr>
              <w:rPr>
                <w:rFonts w:ascii="Times New Roman" w:hAnsi="Times New Roman" w:cs="Times New Roman"/>
                <w:szCs w:val="24"/>
              </w:rPr>
            </w:pPr>
            <w:r w:rsidRPr="00DD1765">
              <w:rPr>
                <w:rFonts w:ascii="Times New Roman" w:hAnsi="Times New Roman" w:cs="Times New Roman"/>
                <w:szCs w:val="24"/>
              </w:rPr>
              <w:t>Отсутствие показаний к бактериологическому исследованию</w:t>
            </w:r>
            <w:r>
              <w:rPr>
                <w:rFonts w:ascii="Times New Roman" w:hAnsi="Times New Roman" w:cs="Times New Roman"/>
                <w:szCs w:val="24"/>
              </w:rPr>
              <w:t xml:space="preserve"> и/или назначению антибиотиков</w:t>
            </w:r>
          </w:p>
        </w:tc>
      </w:tr>
      <w:tr w:rsidR="00951072" w:rsidRPr="00951072" w14:paraId="1A94AC09" w14:textId="77777777" w:rsidTr="00D7356B">
        <w:tc>
          <w:tcPr>
            <w:tcW w:w="1271" w:type="dxa"/>
          </w:tcPr>
          <w:p w14:paraId="4D22D80A" w14:textId="19FD0244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765">
              <w:rPr>
                <w:rFonts w:ascii="Times New Roman" w:hAnsi="Times New Roman" w:cs="Times New Roman"/>
                <w:szCs w:val="24"/>
              </w:rPr>
              <w:t>1 балл</w:t>
            </w:r>
          </w:p>
        </w:tc>
        <w:tc>
          <w:tcPr>
            <w:tcW w:w="1985" w:type="dxa"/>
          </w:tcPr>
          <w:p w14:paraId="4CC6E39B" w14:textId="42291EE9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765">
              <w:rPr>
                <w:rFonts w:ascii="Times New Roman" w:hAnsi="Times New Roman" w:cs="Times New Roman"/>
                <w:szCs w:val="24"/>
              </w:rPr>
              <w:t>12%</w:t>
            </w:r>
          </w:p>
        </w:tc>
        <w:tc>
          <w:tcPr>
            <w:tcW w:w="1984" w:type="dxa"/>
          </w:tcPr>
          <w:p w14:paraId="05168156" w14:textId="31DF19D0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765">
              <w:rPr>
                <w:rFonts w:ascii="Times New Roman" w:hAnsi="Times New Roman" w:cs="Times New Roman"/>
                <w:szCs w:val="24"/>
              </w:rPr>
              <w:t>14%</w:t>
            </w:r>
          </w:p>
        </w:tc>
        <w:tc>
          <w:tcPr>
            <w:tcW w:w="4105" w:type="dxa"/>
            <w:vMerge/>
          </w:tcPr>
          <w:p w14:paraId="4B6C736B" w14:textId="77777777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51072" w:rsidRPr="00951072" w14:paraId="79B7B477" w14:textId="77777777" w:rsidTr="00DD1765">
        <w:trPr>
          <w:trHeight w:val="318"/>
        </w:trPr>
        <w:tc>
          <w:tcPr>
            <w:tcW w:w="1271" w:type="dxa"/>
          </w:tcPr>
          <w:p w14:paraId="549898C7" w14:textId="6C3695F2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765">
              <w:rPr>
                <w:rFonts w:ascii="Times New Roman" w:hAnsi="Times New Roman" w:cs="Times New Roman"/>
                <w:szCs w:val="24"/>
              </w:rPr>
              <w:t>2 балла</w:t>
            </w:r>
          </w:p>
        </w:tc>
        <w:tc>
          <w:tcPr>
            <w:tcW w:w="1985" w:type="dxa"/>
          </w:tcPr>
          <w:p w14:paraId="7D29FD61" w14:textId="70A01BD1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765">
              <w:rPr>
                <w:rFonts w:ascii="Times New Roman" w:hAnsi="Times New Roman" w:cs="Times New Roman"/>
                <w:szCs w:val="24"/>
              </w:rPr>
              <w:t>21%</w:t>
            </w:r>
          </w:p>
        </w:tc>
        <w:tc>
          <w:tcPr>
            <w:tcW w:w="1984" w:type="dxa"/>
          </w:tcPr>
          <w:p w14:paraId="4EEA7271" w14:textId="7AA40E19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765">
              <w:rPr>
                <w:rFonts w:ascii="Times New Roman" w:hAnsi="Times New Roman" w:cs="Times New Roman"/>
                <w:szCs w:val="24"/>
              </w:rPr>
              <w:t>23%</w:t>
            </w:r>
          </w:p>
        </w:tc>
        <w:tc>
          <w:tcPr>
            <w:tcW w:w="4105" w:type="dxa"/>
            <w:vMerge w:val="restart"/>
          </w:tcPr>
          <w:p w14:paraId="13352ACD" w14:textId="4B71B536" w:rsidR="00951072" w:rsidRPr="00DD1765" w:rsidRDefault="00951072" w:rsidP="00DD176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Назначение АБТ по результатам экспресс-теста и/или бактериологического исследования</w:t>
            </w:r>
          </w:p>
        </w:tc>
      </w:tr>
      <w:tr w:rsidR="00951072" w:rsidRPr="00951072" w14:paraId="7C5D8007" w14:textId="77777777" w:rsidTr="00D7356B">
        <w:tc>
          <w:tcPr>
            <w:tcW w:w="1271" w:type="dxa"/>
          </w:tcPr>
          <w:p w14:paraId="179329B3" w14:textId="45271230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765">
              <w:rPr>
                <w:rFonts w:ascii="Times New Roman" w:hAnsi="Times New Roman" w:cs="Times New Roman"/>
                <w:szCs w:val="24"/>
              </w:rPr>
              <w:t>3 балла</w:t>
            </w:r>
          </w:p>
        </w:tc>
        <w:tc>
          <w:tcPr>
            <w:tcW w:w="1985" w:type="dxa"/>
          </w:tcPr>
          <w:p w14:paraId="03B3843C" w14:textId="171AF1E5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765">
              <w:rPr>
                <w:rFonts w:ascii="Times New Roman" w:hAnsi="Times New Roman" w:cs="Times New Roman"/>
                <w:szCs w:val="24"/>
              </w:rPr>
              <w:t>38%</w:t>
            </w:r>
          </w:p>
        </w:tc>
        <w:tc>
          <w:tcPr>
            <w:tcW w:w="1984" w:type="dxa"/>
          </w:tcPr>
          <w:p w14:paraId="18E49ADC" w14:textId="00B70274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765">
              <w:rPr>
                <w:rFonts w:ascii="Times New Roman" w:hAnsi="Times New Roman" w:cs="Times New Roman"/>
                <w:szCs w:val="24"/>
              </w:rPr>
              <w:t>37%</w:t>
            </w:r>
          </w:p>
        </w:tc>
        <w:tc>
          <w:tcPr>
            <w:tcW w:w="4105" w:type="dxa"/>
            <w:vMerge/>
          </w:tcPr>
          <w:p w14:paraId="1515B215" w14:textId="77777777" w:rsidR="00951072" w:rsidRPr="00DD1765" w:rsidRDefault="00951072" w:rsidP="00DD176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51072" w:rsidRPr="00951072" w14:paraId="0E7BC20B" w14:textId="77777777" w:rsidTr="00DD1765">
        <w:tc>
          <w:tcPr>
            <w:tcW w:w="1271" w:type="dxa"/>
          </w:tcPr>
          <w:p w14:paraId="2A0599C9" w14:textId="5361393A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≥ </w:t>
            </w:r>
            <w:r w:rsidRPr="00DD1765">
              <w:rPr>
                <w:rFonts w:ascii="Times New Roman" w:hAnsi="Times New Roman" w:cs="Times New Roman"/>
                <w:szCs w:val="24"/>
              </w:rPr>
              <w:t>4 баллов</w:t>
            </w:r>
          </w:p>
        </w:tc>
        <w:tc>
          <w:tcPr>
            <w:tcW w:w="1985" w:type="dxa"/>
          </w:tcPr>
          <w:p w14:paraId="33E976A2" w14:textId="7793AEEA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765">
              <w:rPr>
                <w:rFonts w:ascii="Times New Roman" w:hAnsi="Times New Roman" w:cs="Times New Roman"/>
                <w:szCs w:val="24"/>
              </w:rPr>
              <w:t>57%</w:t>
            </w:r>
          </w:p>
        </w:tc>
        <w:tc>
          <w:tcPr>
            <w:tcW w:w="1984" w:type="dxa"/>
          </w:tcPr>
          <w:p w14:paraId="1E78EAB0" w14:textId="32360863" w:rsidR="00951072" w:rsidRPr="00DD1765" w:rsidRDefault="00951072" w:rsidP="00DD176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765">
              <w:rPr>
                <w:rFonts w:ascii="Times New Roman" w:hAnsi="Times New Roman" w:cs="Times New Roman"/>
                <w:szCs w:val="24"/>
              </w:rPr>
              <w:t>55%</w:t>
            </w:r>
          </w:p>
        </w:tc>
        <w:tc>
          <w:tcPr>
            <w:tcW w:w="4105" w:type="dxa"/>
          </w:tcPr>
          <w:p w14:paraId="1FD02081" w14:textId="4ECD21F4" w:rsidR="00951072" w:rsidRPr="00DD1765" w:rsidRDefault="00951072" w:rsidP="00DD176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Назначение АБТ на основании клинический картины</w:t>
            </w:r>
          </w:p>
        </w:tc>
      </w:tr>
    </w:tbl>
    <w:p w14:paraId="553CF0A2" w14:textId="77777777" w:rsidR="00951072" w:rsidRDefault="00951072" w:rsidP="00FC5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8839E6" w14:textId="429E3100" w:rsidR="00D5042C" w:rsidRDefault="00D76C92" w:rsidP="00D50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Клиническое наблюдение включало три визита</w:t>
      </w:r>
      <w:r w:rsidR="00951072">
        <w:rPr>
          <w:rFonts w:ascii="Times New Roman" w:hAnsi="Times New Roman" w:cs="Times New Roman"/>
          <w:sz w:val="24"/>
          <w:szCs w:val="24"/>
        </w:rPr>
        <w:t>. В</w:t>
      </w:r>
      <w:r w:rsidR="00FC5B9E">
        <w:rPr>
          <w:rFonts w:ascii="Times New Roman" w:hAnsi="Times New Roman" w:cs="Times New Roman"/>
          <w:sz w:val="24"/>
          <w:szCs w:val="24"/>
        </w:rPr>
        <w:t>изит 1</w:t>
      </w:r>
      <w:r w:rsidR="00BA7804">
        <w:rPr>
          <w:rFonts w:ascii="Times New Roman" w:hAnsi="Times New Roman" w:cs="Times New Roman"/>
          <w:sz w:val="24"/>
          <w:szCs w:val="24"/>
        </w:rPr>
        <w:t xml:space="preserve"> (</w:t>
      </w:r>
      <w:r w:rsidR="00414A22">
        <w:rPr>
          <w:rFonts w:ascii="Times New Roman" w:hAnsi="Times New Roman" w:cs="Times New Roman"/>
          <w:sz w:val="24"/>
          <w:szCs w:val="24"/>
        </w:rPr>
        <w:t xml:space="preserve">В1, </w:t>
      </w:r>
      <w:r w:rsidR="00BA7804">
        <w:rPr>
          <w:rFonts w:ascii="Times New Roman" w:hAnsi="Times New Roman" w:cs="Times New Roman"/>
          <w:sz w:val="24"/>
          <w:szCs w:val="24"/>
        </w:rPr>
        <w:t>очный)</w:t>
      </w:r>
      <w:r>
        <w:rPr>
          <w:rFonts w:ascii="Times New Roman" w:hAnsi="Times New Roman" w:cs="Times New Roman"/>
          <w:sz w:val="24"/>
          <w:szCs w:val="24"/>
        </w:rPr>
        <w:t xml:space="preserve"> – до </w:t>
      </w:r>
      <w:r w:rsidRPr="00D76C92">
        <w:rPr>
          <w:rFonts w:ascii="Times New Roman" w:hAnsi="Times New Roman" w:cs="Times New Roman"/>
          <w:sz w:val="24"/>
          <w:szCs w:val="24"/>
        </w:rPr>
        <w:t>начала приема препарата на этапе скрининга и принятия решения о включении пациента в программу</w:t>
      </w:r>
      <w:r w:rsidR="00FC5B9E">
        <w:rPr>
          <w:rFonts w:ascii="Times New Roman" w:hAnsi="Times New Roman" w:cs="Times New Roman"/>
          <w:sz w:val="24"/>
          <w:szCs w:val="24"/>
        </w:rPr>
        <w:t>.</w:t>
      </w:r>
      <w:r w:rsidR="00D5042C" w:rsidRPr="00D5042C">
        <w:rPr>
          <w:rFonts w:ascii="Times New Roman" w:hAnsi="Times New Roman" w:cs="Times New Roman"/>
          <w:sz w:val="24"/>
          <w:szCs w:val="24"/>
        </w:rPr>
        <w:t xml:space="preserve"> </w:t>
      </w:r>
      <w:r w:rsidR="00D5042C">
        <w:rPr>
          <w:rFonts w:ascii="Times New Roman" w:hAnsi="Times New Roman" w:cs="Times New Roman"/>
          <w:sz w:val="24"/>
          <w:szCs w:val="24"/>
        </w:rPr>
        <w:t>После сбора жалоб, анамнестических дан</w:t>
      </w:r>
      <w:r w:rsidR="00B96D2C">
        <w:rPr>
          <w:rFonts w:ascii="Times New Roman" w:hAnsi="Times New Roman" w:cs="Times New Roman"/>
          <w:sz w:val="24"/>
          <w:szCs w:val="24"/>
        </w:rPr>
        <w:t>н</w:t>
      </w:r>
      <w:r w:rsidR="00D5042C">
        <w:rPr>
          <w:rFonts w:ascii="Times New Roman" w:hAnsi="Times New Roman" w:cs="Times New Roman"/>
          <w:sz w:val="24"/>
          <w:szCs w:val="24"/>
        </w:rPr>
        <w:t xml:space="preserve">ых, общеклинического и оториноларингологического осмотра, проводилась процедура рандомизации </w:t>
      </w:r>
      <w:r w:rsidR="00B96D2C">
        <w:rPr>
          <w:rFonts w:ascii="Times New Roman" w:hAnsi="Times New Roman" w:cs="Times New Roman"/>
          <w:sz w:val="24"/>
          <w:szCs w:val="24"/>
        </w:rPr>
        <w:t>в группы исследования и последующее назначение лекарственного препарата.</w:t>
      </w:r>
      <w:r w:rsidR="00D5042C">
        <w:rPr>
          <w:rFonts w:ascii="Times New Roman" w:hAnsi="Times New Roman" w:cs="Times New Roman"/>
          <w:sz w:val="24"/>
          <w:szCs w:val="24"/>
        </w:rPr>
        <w:t xml:space="preserve"> </w:t>
      </w:r>
      <w:r w:rsidR="00B96D2C">
        <w:rPr>
          <w:rFonts w:ascii="Times New Roman" w:hAnsi="Times New Roman" w:cs="Times New Roman"/>
          <w:sz w:val="24"/>
          <w:szCs w:val="24"/>
        </w:rPr>
        <w:t>На данном этапе в</w:t>
      </w:r>
      <w:r w:rsidR="00D5042C" w:rsidRPr="0044342F">
        <w:rPr>
          <w:rFonts w:ascii="Times New Roman" w:hAnsi="Times New Roman" w:cs="Times New Roman"/>
          <w:sz w:val="24"/>
          <w:szCs w:val="24"/>
        </w:rPr>
        <w:t xml:space="preserve">сем </w:t>
      </w:r>
      <w:r w:rsidR="00B96D2C">
        <w:rPr>
          <w:rFonts w:ascii="Times New Roman" w:hAnsi="Times New Roman" w:cs="Times New Roman"/>
          <w:sz w:val="24"/>
          <w:szCs w:val="24"/>
        </w:rPr>
        <w:t xml:space="preserve">включенным в исследование </w:t>
      </w:r>
      <w:r w:rsidR="00D5042C" w:rsidRPr="0044342F">
        <w:rPr>
          <w:rFonts w:ascii="Times New Roman" w:hAnsi="Times New Roman" w:cs="Times New Roman"/>
          <w:sz w:val="24"/>
          <w:szCs w:val="24"/>
        </w:rPr>
        <w:t xml:space="preserve">пациентам выдавался дневник самонаблюдения </w:t>
      </w:r>
      <w:r w:rsidR="00D5042C" w:rsidRPr="00D5042C">
        <w:rPr>
          <w:rFonts w:ascii="Times New Roman" w:hAnsi="Times New Roman" w:cs="Times New Roman"/>
          <w:sz w:val="24"/>
          <w:szCs w:val="24"/>
        </w:rPr>
        <w:t xml:space="preserve">для ежедневного (с 1-го по 10-ый день терапии) </w:t>
      </w:r>
      <w:r w:rsidR="00D5042C">
        <w:rPr>
          <w:rFonts w:ascii="Times New Roman" w:hAnsi="Times New Roman" w:cs="Times New Roman"/>
          <w:sz w:val="24"/>
          <w:szCs w:val="24"/>
        </w:rPr>
        <w:t xml:space="preserve">самостоятельного </w:t>
      </w:r>
      <w:r w:rsidR="00D5042C" w:rsidRPr="00D5042C">
        <w:rPr>
          <w:rFonts w:ascii="Times New Roman" w:hAnsi="Times New Roman" w:cs="Times New Roman"/>
          <w:sz w:val="24"/>
          <w:szCs w:val="24"/>
        </w:rPr>
        <w:t>заполнения шкал</w:t>
      </w:r>
      <w:r w:rsidR="00B96D2C">
        <w:rPr>
          <w:rFonts w:ascii="Times New Roman" w:hAnsi="Times New Roman" w:cs="Times New Roman"/>
          <w:sz w:val="24"/>
          <w:szCs w:val="24"/>
        </w:rPr>
        <w:t>:</w:t>
      </w:r>
      <w:r w:rsidR="00D5042C" w:rsidRPr="00D5042C">
        <w:rPr>
          <w:rFonts w:ascii="Times New Roman" w:hAnsi="Times New Roman" w:cs="Times New Roman"/>
          <w:sz w:val="24"/>
          <w:szCs w:val="24"/>
        </w:rPr>
        <w:t xml:space="preserve"> выраженност</w:t>
      </w:r>
      <w:r w:rsidR="00B96D2C">
        <w:rPr>
          <w:rFonts w:ascii="Times New Roman" w:hAnsi="Times New Roman" w:cs="Times New Roman"/>
          <w:sz w:val="24"/>
          <w:szCs w:val="24"/>
        </w:rPr>
        <w:t>ь</w:t>
      </w:r>
      <w:r w:rsidR="00D5042C" w:rsidRPr="00D5042C">
        <w:rPr>
          <w:rFonts w:ascii="Times New Roman" w:hAnsi="Times New Roman" w:cs="Times New Roman"/>
          <w:sz w:val="24"/>
          <w:szCs w:val="24"/>
        </w:rPr>
        <w:t xml:space="preserve"> боли в горле (ВАШ</w:t>
      </w:r>
      <w:r w:rsidR="00B96D2C" w:rsidRPr="00BE5CE3">
        <w:rPr>
          <w:rFonts w:ascii="Times New Roman" w:hAnsi="Times New Roman" w:cs="Times New Roman"/>
          <w:sz w:val="24"/>
          <w:szCs w:val="24"/>
        </w:rPr>
        <w:t xml:space="preserve"> </w:t>
      </w:r>
      <w:r w:rsidR="00B96D2C">
        <w:rPr>
          <w:rFonts w:ascii="Times New Roman" w:hAnsi="Times New Roman" w:cs="Times New Roman"/>
          <w:sz w:val="24"/>
          <w:szCs w:val="24"/>
        </w:rPr>
        <w:t>–</w:t>
      </w:r>
      <w:r w:rsidR="00B96D2C" w:rsidRPr="00BE5CE3">
        <w:rPr>
          <w:rFonts w:ascii="Times New Roman" w:hAnsi="Times New Roman" w:cs="Times New Roman"/>
          <w:sz w:val="24"/>
          <w:szCs w:val="24"/>
        </w:rPr>
        <w:t xml:space="preserve"> визуально-аналоговая шкала</w:t>
      </w:r>
      <w:r w:rsidR="00B96D2C">
        <w:rPr>
          <w:rFonts w:ascii="Times New Roman" w:hAnsi="Times New Roman" w:cs="Times New Roman"/>
          <w:sz w:val="24"/>
          <w:szCs w:val="24"/>
        </w:rPr>
        <w:t>)</w:t>
      </w:r>
      <w:r w:rsidR="00B96D2C" w:rsidRPr="0044342F">
        <w:rPr>
          <w:rFonts w:ascii="Times New Roman" w:hAnsi="Times New Roman" w:cs="Times New Roman"/>
          <w:sz w:val="24"/>
          <w:szCs w:val="24"/>
        </w:rPr>
        <w:t>, трудност</w:t>
      </w:r>
      <w:r w:rsidR="00B96D2C">
        <w:rPr>
          <w:rFonts w:ascii="Times New Roman" w:hAnsi="Times New Roman" w:cs="Times New Roman"/>
          <w:sz w:val="24"/>
          <w:szCs w:val="24"/>
        </w:rPr>
        <w:t>ь при</w:t>
      </w:r>
      <w:r w:rsidR="00B96D2C" w:rsidRPr="0044342F">
        <w:rPr>
          <w:rFonts w:ascii="Times New Roman" w:hAnsi="Times New Roman" w:cs="Times New Roman"/>
          <w:sz w:val="24"/>
          <w:szCs w:val="24"/>
        </w:rPr>
        <w:t xml:space="preserve"> глотани</w:t>
      </w:r>
      <w:r w:rsidR="00B96D2C">
        <w:rPr>
          <w:rFonts w:ascii="Times New Roman" w:hAnsi="Times New Roman" w:cs="Times New Roman"/>
          <w:sz w:val="24"/>
          <w:szCs w:val="24"/>
        </w:rPr>
        <w:t>и</w:t>
      </w:r>
      <w:r w:rsidR="00B96D2C" w:rsidRPr="0044342F">
        <w:rPr>
          <w:rFonts w:ascii="Times New Roman" w:hAnsi="Times New Roman" w:cs="Times New Roman"/>
          <w:sz w:val="24"/>
          <w:szCs w:val="24"/>
        </w:rPr>
        <w:t xml:space="preserve"> (DSS</w:t>
      </w:r>
      <w:r w:rsidR="00B96D2C" w:rsidRPr="00BE5CE3">
        <w:rPr>
          <w:rFonts w:ascii="Times New Roman" w:hAnsi="Times New Roman" w:cs="Times New Roman"/>
          <w:sz w:val="24"/>
          <w:szCs w:val="24"/>
        </w:rPr>
        <w:t xml:space="preserve"> </w:t>
      </w:r>
      <w:r w:rsidR="00B96D2C">
        <w:rPr>
          <w:rFonts w:ascii="Times New Roman" w:hAnsi="Times New Roman" w:cs="Times New Roman"/>
          <w:sz w:val="24"/>
          <w:szCs w:val="24"/>
        </w:rPr>
        <w:t>–</w:t>
      </w:r>
      <w:r w:rsidR="00B96D2C" w:rsidRPr="00BE5CE3">
        <w:rPr>
          <w:rFonts w:ascii="Times New Roman" w:hAnsi="Times New Roman" w:cs="Times New Roman"/>
          <w:sz w:val="24"/>
          <w:szCs w:val="24"/>
        </w:rPr>
        <w:t xml:space="preserve"> difficulty swallowing scale</w:t>
      </w:r>
      <w:r w:rsidR="00B96D2C" w:rsidRPr="0044342F">
        <w:rPr>
          <w:rFonts w:ascii="Times New Roman" w:hAnsi="Times New Roman" w:cs="Times New Roman"/>
          <w:sz w:val="24"/>
          <w:szCs w:val="24"/>
        </w:rPr>
        <w:t>), отёчност</w:t>
      </w:r>
      <w:r w:rsidR="00B96D2C">
        <w:rPr>
          <w:rFonts w:ascii="Times New Roman" w:hAnsi="Times New Roman" w:cs="Times New Roman"/>
          <w:sz w:val="24"/>
          <w:szCs w:val="24"/>
        </w:rPr>
        <w:t>ь</w:t>
      </w:r>
      <w:r w:rsidR="00B96D2C" w:rsidRPr="0044342F">
        <w:rPr>
          <w:rFonts w:ascii="Times New Roman" w:hAnsi="Times New Roman" w:cs="Times New Roman"/>
          <w:sz w:val="24"/>
          <w:szCs w:val="24"/>
        </w:rPr>
        <w:t xml:space="preserve"> (опухания) горла (SWOTS</w:t>
      </w:r>
      <w:r w:rsidR="00B96D2C" w:rsidRPr="00BE5CE3">
        <w:rPr>
          <w:rFonts w:ascii="Times New Roman" w:hAnsi="Times New Roman" w:cs="Times New Roman"/>
          <w:sz w:val="24"/>
          <w:szCs w:val="24"/>
        </w:rPr>
        <w:t xml:space="preserve"> </w:t>
      </w:r>
      <w:r w:rsidR="00B96D2C">
        <w:rPr>
          <w:rFonts w:ascii="Times New Roman" w:hAnsi="Times New Roman" w:cs="Times New Roman"/>
          <w:sz w:val="24"/>
          <w:szCs w:val="24"/>
        </w:rPr>
        <w:t>–</w:t>
      </w:r>
      <w:r w:rsidR="00B96D2C" w:rsidRPr="00BE5CE3">
        <w:rPr>
          <w:rFonts w:ascii="Times New Roman" w:hAnsi="Times New Roman" w:cs="Times New Roman"/>
          <w:sz w:val="24"/>
          <w:szCs w:val="24"/>
        </w:rPr>
        <w:t xml:space="preserve"> </w:t>
      </w:r>
      <w:r w:rsidR="00B96D2C" w:rsidRPr="00BE5CE3">
        <w:rPr>
          <w:rFonts w:ascii="Times New Roman" w:hAnsi="Times New Roman" w:cs="Times New Roman"/>
          <w:sz w:val="24"/>
          <w:szCs w:val="24"/>
          <w:lang w:val="en-US"/>
        </w:rPr>
        <w:t>swollen</w:t>
      </w:r>
      <w:r w:rsidR="00B96D2C" w:rsidRPr="00BE5CE3">
        <w:rPr>
          <w:rFonts w:ascii="Times New Roman" w:hAnsi="Times New Roman" w:cs="Times New Roman"/>
          <w:sz w:val="24"/>
          <w:szCs w:val="24"/>
        </w:rPr>
        <w:t xml:space="preserve"> </w:t>
      </w:r>
      <w:r w:rsidR="00B96D2C" w:rsidRPr="00BE5CE3">
        <w:rPr>
          <w:rFonts w:ascii="Times New Roman" w:hAnsi="Times New Roman" w:cs="Times New Roman"/>
          <w:sz w:val="24"/>
          <w:szCs w:val="24"/>
          <w:lang w:val="en-US"/>
        </w:rPr>
        <w:t>throat</w:t>
      </w:r>
      <w:r w:rsidR="00B96D2C" w:rsidRPr="00BE5CE3">
        <w:rPr>
          <w:rFonts w:ascii="Times New Roman" w:hAnsi="Times New Roman" w:cs="Times New Roman"/>
          <w:sz w:val="24"/>
          <w:szCs w:val="24"/>
        </w:rPr>
        <w:t xml:space="preserve"> </w:t>
      </w:r>
      <w:r w:rsidR="00B96D2C" w:rsidRPr="00BE5CE3">
        <w:rPr>
          <w:rFonts w:ascii="Times New Roman" w:hAnsi="Times New Roman" w:cs="Times New Roman"/>
          <w:sz w:val="24"/>
          <w:szCs w:val="24"/>
          <w:lang w:val="en-US"/>
        </w:rPr>
        <w:t>scale</w:t>
      </w:r>
      <w:r w:rsidR="00B96D2C" w:rsidRPr="0044342F">
        <w:rPr>
          <w:rFonts w:ascii="Times New Roman" w:hAnsi="Times New Roman" w:cs="Times New Roman"/>
          <w:sz w:val="24"/>
          <w:szCs w:val="24"/>
        </w:rPr>
        <w:t>)</w:t>
      </w:r>
      <w:r w:rsidR="00B96D2C">
        <w:rPr>
          <w:rFonts w:ascii="Times New Roman" w:hAnsi="Times New Roman" w:cs="Times New Roman"/>
          <w:sz w:val="24"/>
          <w:szCs w:val="24"/>
        </w:rPr>
        <w:t>;</w:t>
      </w:r>
      <w:r w:rsidR="00D5042C">
        <w:rPr>
          <w:rFonts w:ascii="Times New Roman" w:hAnsi="Times New Roman" w:cs="Times New Roman"/>
          <w:sz w:val="24"/>
          <w:szCs w:val="24"/>
        </w:rPr>
        <w:t xml:space="preserve"> и внесения данных о температуре тела.</w:t>
      </w:r>
      <w:r w:rsidR="00D5042C" w:rsidRPr="00D5042C">
        <w:rPr>
          <w:rFonts w:ascii="Times New Roman" w:hAnsi="Times New Roman" w:cs="Times New Roman"/>
          <w:sz w:val="24"/>
          <w:szCs w:val="24"/>
        </w:rPr>
        <w:t xml:space="preserve"> </w:t>
      </w:r>
      <w:r w:rsidR="00D5042C">
        <w:rPr>
          <w:rFonts w:ascii="Times New Roman" w:hAnsi="Times New Roman" w:cs="Times New Roman"/>
          <w:sz w:val="24"/>
          <w:szCs w:val="24"/>
        </w:rPr>
        <w:t>Пациенты были подробно проинструктированы</w:t>
      </w:r>
      <w:r w:rsidR="00D5042C" w:rsidRPr="00D5042C">
        <w:rPr>
          <w:rFonts w:ascii="Times New Roman" w:hAnsi="Times New Roman" w:cs="Times New Roman"/>
          <w:sz w:val="24"/>
          <w:szCs w:val="24"/>
        </w:rPr>
        <w:t xml:space="preserve"> </w:t>
      </w:r>
      <w:r w:rsidR="00D5042C">
        <w:rPr>
          <w:rFonts w:ascii="Times New Roman" w:hAnsi="Times New Roman" w:cs="Times New Roman"/>
          <w:sz w:val="24"/>
          <w:szCs w:val="24"/>
        </w:rPr>
        <w:t>по</w:t>
      </w:r>
      <w:r w:rsidR="00D5042C" w:rsidRPr="00D5042C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D5042C">
        <w:rPr>
          <w:rFonts w:ascii="Times New Roman" w:hAnsi="Times New Roman" w:cs="Times New Roman"/>
          <w:sz w:val="24"/>
          <w:szCs w:val="24"/>
        </w:rPr>
        <w:t>ам</w:t>
      </w:r>
      <w:r w:rsidR="00D5042C" w:rsidRPr="00D5042C">
        <w:rPr>
          <w:rFonts w:ascii="Times New Roman" w:hAnsi="Times New Roman" w:cs="Times New Roman"/>
          <w:sz w:val="24"/>
          <w:szCs w:val="24"/>
        </w:rPr>
        <w:t xml:space="preserve"> заполнения шкал и измерения температуры тела</w:t>
      </w:r>
      <w:r w:rsidR="00D5042C">
        <w:rPr>
          <w:rFonts w:ascii="Times New Roman" w:hAnsi="Times New Roman" w:cs="Times New Roman"/>
          <w:sz w:val="24"/>
          <w:szCs w:val="24"/>
        </w:rPr>
        <w:t>.</w:t>
      </w:r>
    </w:p>
    <w:p w14:paraId="6AA76ECE" w14:textId="34D215E0" w:rsidR="00D5042C" w:rsidRDefault="00FC5B9E" w:rsidP="00B96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76C92">
        <w:rPr>
          <w:rFonts w:ascii="Times New Roman" w:hAnsi="Times New Roman" w:cs="Times New Roman"/>
          <w:sz w:val="24"/>
          <w:szCs w:val="24"/>
        </w:rPr>
        <w:t xml:space="preserve">изит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D76C92">
        <w:rPr>
          <w:rFonts w:ascii="Times New Roman" w:hAnsi="Times New Roman" w:cs="Times New Roman"/>
          <w:sz w:val="24"/>
          <w:szCs w:val="24"/>
        </w:rPr>
        <w:t>(</w:t>
      </w:r>
      <w:r w:rsidR="00414A22">
        <w:rPr>
          <w:rFonts w:ascii="Times New Roman" w:hAnsi="Times New Roman" w:cs="Times New Roman"/>
          <w:sz w:val="24"/>
          <w:szCs w:val="24"/>
        </w:rPr>
        <w:t xml:space="preserve">В2, </w:t>
      </w:r>
      <w:r w:rsidRPr="00FC5B9E">
        <w:rPr>
          <w:rFonts w:ascii="Times New Roman" w:hAnsi="Times New Roman" w:cs="Times New Roman"/>
          <w:sz w:val="24"/>
          <w:szCs w:val="24"/>
        </w:rPr>
        <w:t>дистанционный, звонок по телефону</w:t>
      </w:r>
      <w:r w:rsidR="00B96D2C">
        <w:rPr>
          <w:rFonts w:ascii="Times New Roman" w:hAnsi="Times New Roman" w:cs="Times New Roman"/>
          <w:sz w:val="24"/>
          <w:szCs w:val="24"/>
        </w:rPr>
        <w:t xml:space="preserve">) </w:t>
      </w:r>
      <w:r w:rsidR="00BD32BF">
        <w:rPr>
          <w:rFonts w:ascii="Times New Roman" w:hAnsi="Times New Roman" w:cs="Times New Roman"/>
          <w:sz w:val="24"/>
          <w:szCs w:val="24"/>
        </w:rPr>
        <w:t>– 3-й день от</w:t>
      </w:r>
      <w:r w:rsidR="00085E05">
        <w:rPr>
          <w:rFonts w:ascii="Times New Roman" w:hAnsi="Times New Roman" w:cs="Times New Roman"/>
          <w:sz w:val="24"/>
          <w:szCs w:val="24"/>
        </w:rPr>
        <w:t xml:space="preserve"> начала курса лечения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269C">
        <w:rPr>
          <w:rFonts w:ascii="Times New Roman" w:hAnsi="Times New Roman" w:cs="Times New Roman"/>
          <w:sz w:val="24"/>
          <w:szCs w:val="24"/>
        </w:rPr>
        <w:t xml:space="preserve"> Проводилась оценка</w:t>
      </w:r>
      <w:r w:rsidR="00B96D2C">
        <w:rPr>
          <w:rFonts w:ascii="Times New Roman" w:hAnsi="Times New Roman" w:cs="Times New Roman"/>
          <w:sz w:val="24"/>
          <w:szCs w:val="24"/>
        </w:rPr>
        <w:t xml:space="preserve"> </w:t>
      </w:r>
      <w:r w:rsidR="00BD32BF">
        <w:rPr>
          <w:rFonts w:ascii="Times New Roman" w:hAnsi="Times New Roman" w:cs="Times New Roman"/>
          <w:sz w:val="24"/>
          <w:szCs w:val="24"/>
        </w:rPr>
        <w:t>изменения</w:t>
      </w:r>
      <w:r w:rsidR="00B96D2C" w:rsidRPr="00B96D2C">
        <w:rPr>
          <w:rFonts w:ascii="Times New Roman" w:hAnsi="Times New Roman" w:cs="Times New Roman"/>
          <w:sz w:val="24"/>
          <w:szCs w:val="24"/>
        </w:rPr>
        <w:t xml:space="preserve"> клинических симптомов ОТФ</w:t>
      </w:r>
      <w:r w:rsidR="009D5883">
        <w:rPr>
          <w:rFonts w:ascii="Times New Roman" w:hAnsi="Times New Roman" w:cs="Times New Roman"/>
          <w:sz w:val="24"/>
          <w:szCs w:val="24"/>
        </w:rPr>
        <w:t xml:space="preserve"> по шкалам ВАШ, </w:t>
      </w:r>
      <w:r w:rsidR="009D5883">
        <w:rPr>
          <w:rFonts w:ascii="Times New Roman" w:hAnsi="Times New Roman" w:cs="Times New Roman"/>
          <w:sz w:val="24"/>
          <w:szCs w:val="24"/>
          <w:lang w:val="en-US"/>
        </w:rPr>
        <w:t>DSS</w:t>
      </w:r>
      <w:r w:rsidR="009D5883" w:rsidRPr="009D5883">
        <w:rPr>
          <w:rFonts w:ascii="Times New Roman" w:hAnsi="Times New Roman" w:cs="Times New Roman"/>
          <w:sz w:val="24"/>
          <w:szCs w:val="24"/>
        </w:rPr>
        <w:t xml:space="preserve">, </w:t>
      </w:r>
      <w:r w:rsidR="009D5883">
        <w:rPr>
          <w:rFonts w:ascii="Times New Roman" w:hAnsi="Times New Roman" w:cs="Times New Roman"/>
          <w:sz w:val="24"/>
          <w:szCs w:val="24"/>
          <w:lang w:val="en-US"/>
        </w:rPr>
        <w:t>SWOTS</w:t>
      </w:r>
      <w:r w:rsidR="009D5883">
        <w:rPr>
          <w:rFonts w:ascii="Times New Roman" w:hAnsi="Times New Roman" w:cs="Times New Roman"/>
          <w:sz w:val="24"/>
          <w:szCs w:val="24"/>
        </w:rPr>
        <w:t>. В случае положительной динамики</w:t>
      </w:r>
      <w:r w:rsidR="00B96D2C" w:rsidRPr="00B96D2C">
        <w:rPr>
          <w:rFonts w:ascii="Times New Roman" w:hAnsi="Times New Roman" w:cs="Times New Roman"/>
          <w:sz w:val="24"/>
          <w:szCs w:val="24"/>
        </w:rPr>
        <w:t xml:space="preserve"> </w:t>
      </w:r>
      <w:r w:rsidR="009D5883">
        <w:rPr>
          <w:rFonts w:ascii="Times New Roman" w:hAnsi="Times New Roman" w:cs="Times New Roman"/>
          <w:sz w:val="24"/>
          <w:szCs w:val="24"/>
        </w:rPr>
        <w:t>продолжали проводимую терапию</w:t>
      </w:r>
      <w:r w:rsidR="00B96D2C" w:rsidRPr="00B96D2C">
        <w:rPr>
          <w:rFonts w:ascii="Times New Roman" w:hAnsi="Times New Roman" w:cs="Times New Roman"/>
          <w:sz w:val="24"/>
          <w:szCs w:val="24"/>
        </w:rPr>
        <w:t xml:space="preserve">, </w:t>
      </w:r>
      <w:r w:rsidR="00493FB4">
        <w:rPr>
          <w:rFonts w:ascii="Times New Roman" w:hAnsi="Times New Roman" w:cs="Times New Roman"/>
          <w:sz w:val="24"/>
          <w:szCs w:val="24"/>
        </w:rPr>
        <w:t>при отсутствии динамики или ухудшении состояния пациент исключался из</w:t>
      </w:r>
      <w:r w:rsidR="00B96D2C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493FB4">
        <w:rPr>
          <w:rFonts w:ascii="Times New Roman" w:hAnsi="Times New Roman" w:cs="Times New Roman"/>
          <w:sz w:val="24"/>
          <w:szCs w:val="24"/>
        </w:rPr>
        <w:t xml:space="preserve"> для подбора в дальнейшем другого варианта терапии</w:t>
      </w:r>
      <w:r w:rsidR="009D5883">
        <w:rPr>
          <w:rFonts w:ascii="Times New Roman" w:hAnsi="Times New Roman" w:cs="Times New Roman"/>
          <w:sz w:val="24"/>
          <w:szCs w:val="24"/>
        </w:rPr>
        <w:t>. Также оценивали</w:t>
      </w:r>
      <w:r w:rsidR="0084269C">
        <w:rPr>
          <w:rFonts w:ascii="Times New Roman" w:hAnsi="Times New Roman" w:cs="Times New Roman"/>
          <w:sz w:val="24"/>
          <w:szCs w:val="24"/>
        </w:rPr>
        <w:t xml:space="preserve"> </w:t>
      </w:r>
      <w:r w:rsidR="009D5883">
        <w:rPr>
          <w:rFonts w:ascii="Times New Roman" w:hAnsi="Times New Roman" w:cs="Times New Roman"/>
          <w:sz w:val="24"/>
          <w:szCs w:val="24"/>
        </w:rPr>
        <w:t>общее клиническое впечатление от лечения</w:t>
      </w:r>
      <w:r w:rsidR="0084269C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84269C">
        <w:rPr>
          <w:rFonts w:ascii="Times New Roman" w:hAnsi="Times New Roman" w:cs="Times New Roman"/>
          <w:sz w:val="24"/>
          <w:szCs w:val="24"/>
        </w:rPr>
        <w:t>по шкале</w:t>
      </w:r>
      <w:r w:rsidR="0084269C" w:rsidRPr="0044342F">
        <w:rPr>
          <w:rFonts w:ascii="Times New Roman" w:hAnsi="Times New Roman" w:cs="Times New Roman"/>
          <w:sz w:val="24"/>
          <w:szCs w:val="24"/>
        </w:rPr>
        <w:t xml:space="preserve"> CGI–I</w:t>
      </w:r>
      <w:r w:rsidR="0084269C">
        <w:rPr>
          <w:rFonts w:ascii="Times New Roman" w:hAnsi="Times New Roman" w:cs="Times New Roman"/>
          <w:sz w:val="24"/>
          <w:szCs w:val="24"/>
        </w:rPr>
        <w:t xml:space="preserve"> (</w:t>
      </w:r>
      <w:r w:rsidR="0084269C">
        <w:rPr>
          <w:rFonts w:ascii="Times New Roman" w:hAnsi="Times New Roman" w:cs="Times New Roman"/>
          <w:sz w:val="24"/>
          <w:szCs w:val="24"/>
          <w:lang w:val="en-US"/>
        </w:rPr>
        <w:t>clinical</w:t>
      </w:r>
      <w:r w:rsidR="0084269C" w:rsidRPr="008146F2">
        <w:rPr>
          <w:rFonts w:ascii="Times New Roman" w:hAnsi="Times New Roman" w:cs="Times New Roman"/>
          <w:sz w:val="24"/>
          <w:szCs w:val="24"/>
        </w:rPr>
        <w:t xml:space="preserve"> </w:t>
      </w:r>
      <w:r w:rsidR="0084269C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="0084269C" w:rsidRPr="008146F2">
        <w:rPr>
          <w:rFonts w:ascii="Times New Roman" w:hAnsi="Times New Roman" w:cs="Times New Roman"/>
          <w:sz w:val="24"/>
          <w:szCs w:val="24"/>
        </w:rPr>
        <w:t xml:space="preserve"> </w:t>
      </w:r>
      <w:r w:rsidR="0084269C">
        <w:rPr>
          <w:rFonts w:ascii="Times New Roman" w:hAnsi="Times New Roman" w:cs="Times New Roman"/>
          <w:sz w:val="24"/>
          <w:szCs w:val="24"/>
          <w:lang w:val="en-US"/>
        </w:rPr>
        <w:t>impression</w:t>
      </w:r>
      <w:r w:rsidR="0084269C">
        <w:rPr>
          <w:rFonts w:ascii="Times New Roman" w:hAnsi="Times New Roman" w:cs="Times New Roman"/>
          <w:sz w:val="24"/>
          <w:szCs w:val="24"/>
        </w:rPr>
        <w:t xml:space="preserve"> – </w:t>
      </w:r>
      <w:r w:rsidR="0084269C">
        <w:rPr>
          <w:rFonts w:ascii="Times New Roman" w:hAnsi="Times New Roman" w:cs="Times New Roman"/>
          <w:sz w:val="24"/>
          <w:szCs w:val="24"/>
          <w:lang w:val="en-US"/>
        </w:rPr>
        <w:t>improvement</w:t>
      </w:r>
      <w:r w:rsidR="0084269C">
        <w:rPr>
          <w:rFonts w:ascii="Times New Roman" w:hAnsi="Times New Roman" w:cs="Times New Roman"/>
          <w:sz w:val="24"/>
          <w:szCs w:val="24"/>
        </w:rPr>
        <w:t>)</w:t>
      </w:r>
      <w:r w:rsidR="009D5883">
        <w:rPr>
          <w:rFonts w:ascii="Times New Roman" w:hAnsi="Times New Roman" w:cs="Times New Roman"/>
          <w:sz w:val="24"/>
          <w:szCs w:val="24"/>
        </w:rPr>
        <w:t xml:space="preserve"> и регистрировали</w:t>
      </w:r>
      <w:r w:rsidR="00B96D2C">
        <w:rPr>
          <w:rFonts w:ascii="Times New Roman" w:hAnsi="Times New Roman" w:cs="Times New Roman"/>
          <w:sz w:val="24"/>
          <w:szCs w:val="24"/>
        </w:rPr>
        <w:t xml:space="preserve"> нежелательные явления</w:t>
      </w:r>
      <w:r w:rsidR="00493FB4">
        <w:rPr>
          <w:rFonts w:ascii="Times New Roman" w:hAnsi="Times New Roman" w:cs="Times New Roman"/>
          <w:sz w:val="24"/>
          <w:szCs w:val="24"/>
        </w:rPr>
        <w:t xml:space="preserve"> (количество и тип)</w:t>
      </w:r>
      <w:r w:rsidR="00B96D2C" w:rsidRPr="00B96D2C">
        <w:rPr>
          <w:rFonts w:ascii="Times New Roman" w:hAnsi="Times New Roman" w:cs="Times New Roman"/>
          <w:sz w:val="24"/>
          <w:szCs w:val="24"/>
        </w:rPr>
        <w:t>.</w:t>
      </w:r>
      <w:r w:rsidR="00B96D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124DA" w14:textId="470148E2" w:rsidR="00A73BFD" w:rsidRDefault="00FC5B9E" w:rsidP="00A73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Визит 3</w:t>
      </w:r>
      <w:r w:rsidR="00BA7804">
        <w:rPr>
          <w:rFonts w:ascii="Times New Roman" w:hAnsi="Times New Roman" w:cs="Times New Roman"/>
          <w:sz w:val="24"/>
          <w:szCs w:val="24"/>
        </w:rPr>
        <w:t xml:space="preserve"> (</w:t>
      </w:r>
      <w:r w:rsidR="00414A22">
        <w:rPr>
          <w:rFonts w:ascii="Times New Roman" w:hAnsi="Times New Roman" w:cs="Times New Roman"/>
          <w:sz w:val="24"/>
          <w:szCs w:val="24"/>
        </w:rPr>
        <w:t xml:space="preserve">В3, </w:t>
      </w:r>
      <w:r w:rsidR="00BA7804">
        <w:rPr>
          <w:rFonts w:ascii="Times New Roman" w:hAnsi="Times New Roman" w:cs="Times New Roman"/>
          <w:sz w:val="24"/>
          <w:szCs w:val="24"/>
        </w:rPr>
        <w:t xml:space="preserve">очный) – </w:t>
      </w:r>
      <w:r w:rsidR="00085E05">
        <w:rPr>
          <w:rFonts w:ascii="Times New Roman" w:hAnsi="Times New Roman" w:cs="Times New Roman"/>
          <w:sz w:val="24"/>
          <w:szCs w:val="24"/>
        </w:rPr>
        <w:t>завершение терапии –</w:t>
      </w:r>
      <w:r w:rsidR="00BA7804">
        <w:rPr>
          <w:rFonts w:ascii="Times New Roman" w:hAnsi="Times New Roman" w:cs="Times New Roman"/>
          <w:sz w:val="24"/>
          <w:szCs w:val="24"/>
        </w:rPr>
        <w:t xml:space="preserve"> </w:t>
      </w:r>
      <w:r w:rsidR="00085E05">
        <w:rPr>
          <w:rFonts w:ascii="Times New Roman" w:hAnsi="Times New Roman" w:cs="Times New Roman"/>
          <w:sz w:val="24"/>
          <w:szCs w:val="24"/>
        </w:rPr>
        <w:t>10-</w:t>
      </w:r>
      <w:r w:rsidR="00BA7804">
        <w:rPr>
          <w:rFonts w:ascii="Times New Roman" w:hAnsi="Times New Roman" w:cs="Times New Roman"/>
          <w:sz w:val="24"/>
          <w:szCs w:val="24"/>
        </w:rPr>
        <w:t>й день приема препарата</w:t>
      </w:r>
      <w:r w:rsidR="008146F2">
        <w:rPr>
          <w:rFonts w:ascii="Times New Roman" w:hAnsi="Times New Roman" w:cs="Times New Roman"/>
          <w:sz w:val="24"/>
          <w:szCs w:val="24"/>
        </w:rPr>
        <w:t>. П</w:t>
      </w:r>
      <w:r w:rsidR="00A73BFD" w:rsidRPr="00A73BFD">
        <w:rPr>
          <w:rFonts w:ascii="Times New Roman" w:hAnsi="Times New Roman" w:cs="Times New Roman"/>
          <w:sz w:val="24"/>
          <w:szCs w:val="24"/>
        </w:rPr>
        <w:t xml:space="preserve">о </w:t>
      </w:r>
      <w:r w:rsidR="00A73BFD">
        <w:rPr>
          <w:rFonts w:ascii="Times New Roman" w:hAnsi="Times New Roman" w:cs="Times New Roman"/>
          <w:sz w:val="24"/>
          <w:szCs w:val="24"/>
        </w:rPr>
        <w:t>окончании</w:t>
      </w:r>
      <w:r w:rsidR="00A73BFD" w:rsidRPr="00A73BFD">
        <w:rPr>
          <w:rFonts w:ascii="Times New Roman" w:hAnsi="Times New Roman" w:cs="Times New Roman"/>
          <w:sz w:val="24"/>
          <w:szCs w:val="24"/>
        </w:rPr>
        <w:t xml:space="preserve"> лечения </w:t>
      </w:r>
      <w:r w:rsidR="006E304B" w:rsidRPr="00A73BFD">
        <w:rPr>
          <w:rFonts w:ascii="Times New Roman" w:hAnsi="Times New Roman" w:cs="Times New Roman"/>
          <w:sz w:val="24"/>
          <w:szCs w:val="24"/>
        </w:rPr>
        <w:t>п</w:t>
      </w:r>
      <w:r w:rsidR="006E304B">
        <w:rPr>
          <w:rFonts w:ascii="Times New Roman" w:hAnsi="Times New Roman" w:cs="Times New Roman"/>
          <w:sz w:val="24"/>
          <w:szCs w:val="24"/>
        </w:rPr>
        <w:t>роводился повторно общеклинический и оториноларингологический осмотр, собирались и анализировались данные дневника самонаблюдения (</w:t>
      </w:r>
      <w:r w:rsidR="006E304B" w:rsidRPr="00A73BFD">
        <w:rPr>
          <w:rFonts w:ascii="Times New Roman" w:hAnsi="Times New Roman" w:cs="Times New Roman"/>
          <w:sz w:val="24"/>
          <w:szCs w:val="24"/>
        </w:rPr>
        <w:t>выраженност</w:t>
      </w:r>
      <w:r w:rsidR="006E304B">
        <w:rPr>
          <w:rFonts w:ascii="Times New Roman" w:hAnsi="Times New Roman" w:cs="Times New Roman"/>
          <w:sz w:val="24"/>
          <w:szCs w:val="24"/>
        </w:rPr>
        <w:t>ь</w:t>
      </w:r>
      <w:r w:rsidR="006E304B" w:rsidRPr="00A73BFD">
        <w:rPr>
          <w:rFonts w:ascii="Times New Roman" w:hAnsi="Times New Roman" w:cs="Times New Roman"/>
          <w:sz w:val="24"/>
          <w:szCs w:val="24"/>
        </w:rPr>
        <w:t xml:space="preserve"> бол</w:t>
      </w:r>
      <w:r w:rsidR="006E304B">
        <w:rPr>
          <w:rFonts w:ascii="Times New Roman" w:hAnsi="Times New Roman" w:cs="Times New Roman"/>
          <w:sz w:val="24"/>
          <w:szCs w:val="24"/>
        </w:rPr>
        <w:t xml:space="preserve">и в горле, трудности глотания, </w:t>
      </w:r>
      <w:r w:rsidR="006E304B" w:rsidRPr="00A73BFD">
        <w:rPr>
          <w:rFonts w:ascii="Times New Roman" w:hAnsi="Times New Roman" w:cs="Times New Roman"/>
          <w:sz w:val="24"/>
          <w:szCs w:val="24"/>
        </w:rPr>
        <w:t>отёчности (опухания) горла у пациента по шкалам ВАШ, DSS, SWOT</w:t>
      </w:r>
      <w:r w:rsidR="006E304B" w:rsidRPr="00A73B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E304B" w:rsidRPr="00A73BFD">
        <w:rPr>
          <w:rFonts w:ascii="Times New Roman" w:hAnsi="Times New Roman" w:cs="Times New Roman"/>
          <w:sz w:val="24"/>
          <w:szCs w:val="24"/>
        </w:rPr>
        <w:t xml:space="preserve"> и измерени</w:t>
      </w:r>
      <w:r w:rsidR="006E304B">
        <w:rPr>
          <w:rFonts w:ascii="Times New Roman" w:hAnsi="Times New Roman" w:cs="Times New Roman"/>
          <w:sz w:val="24"/>
          <w:szCs w:val="24"/>
        </w:rPr>
        <w:t>я</w:t>
      </w:r>
      <w:r w:rsidR="006E304B" w:rsidRPr="00A73BFD">
        <w:rPr>
          <w:rFonts w:ascii="Times New Roman" w:hAnsi="Times New Roman" w:cs="Times New Roman"/>
          <w:sz w:val="24"/>
          <w:szCs w:val="24"/>
        </w:rPr>
        <w:t xml:space="preserve"> температуры тела</w:t>
      </w:r>
      <w:r w:rsidR="006E304B">
        <w:rPr>
          <w:rFonts w:ascii="Times New Roman" w:hAnsi="Times New Roman" w:cs="Times New Roman"/>
          <w:sz w:val="24"/>
          <w:szCs w:val="24"/>
        </w:rPr>
        <w:t xml:space="preserve">), врачом-исследователем </w:t>
      </w:r>
      <w:r w:rsidR="00A73BFD">
        <w:rPr>
          <w:rFonts w:ascii="Times New Roman" w:hAnsi="Times New Roman" w:cs="Times New Roman"/>
          <w:sz w:val="24"/>
          <w:szCs w:val="24"/>
        </w:rPr>
        <w:t>оценивался клинический исход терапии</w:t>
      </w:r>
      <w:r w:rsidR="00493FB4">
        <w:rPr>
          <w:rFonts w:ascii="Times New Roman" w:hAnsi="Times New Roman" w:cs="Times New Roman"/>
          <w:sz w:val="24"/>
          <w:szCs w:val="24"/>
        </w:rPr>
        <w:t xml:space="preserve"> </w:t>
      </w:r>
      <w:r w:rsidR="00493FB4" w:rsidRPr="006E304B">
        <w:rPr>
          <w:rFonts w:ascii="Times New Roman" w:hAnsi="Times New Roman" w:cs="Times New Roman"/>
          <w:sz w:val="24"/>
          <w:szCs w:val="24"/>
        </w:rPr>
        <w:t>на основании</w:t>
      </w:r>
      <w:r w:rsidR="006E304B">
        <w:rPr>
          <w:rFonts w:ascii="Times New Roman" w:hAnsi="Times New Roman" w:cs="Times New Roman"/>
          <w:sz w:val="24"/>
          <w:szCs w:val="24"/>
        </w:rPr>
        <w:t xml:space="preserve"> динамики указанных симптомов (</w:t>
      </w:r>
      <w:r w:rsidR="00493FB4">
        <w:rPr>
          <w:rFonts w:ascii="Times New Roman" w:hAnsi="Times New Roman" w:cs="Times New Roman"/>
          <w:sz w:val="24"/>
          <w:szCs w:val="24"/>
        </w:rPr>
        <w:t>хороший и удовлетворительный исходы расценивались как показатель эффективности терапии</w:t>
      </w:r>
      <w:r w:rsidR="006E304B">
        <w:rPr>
          <w:rFonts w:ascii="Times New Roman" w:hAnsi="Times New Roman" w:cs="Times New Roman"/>
          <w:sz w:val="24"/>
          <w:szCs w:val="24"/>
        </w:rPr>
        <w:t>)</w:t>
      </w:r>
      <w:r w:rsidR="00A73BFD">
        <w:rPr>
          <w:rFonts w:ascii="Times New Roman" w:hAnsi="Times New Roman" w:cs="Times New Roman"/>
          <w:sz w:val="24"/>
          <w:szCs w:val="24"/>
        </w:rPr>
        <w:t xml:space="preserve">, регистрировались нежелательные явления. Также пациентам предлагалось заполнить опросник Мориски-Грин по </w:t>
      </w:r>
      <w:r w:rsidR="006E304B">
        <w:rPr>
          <w:rFonts w:ascii="Times New Roman" w:hAnsi="Times New Roman" w:cs="Times New Roman"/>
          <w:sz w:val="24"/>
          <w:szCs w:val="24"/>
        </w:rPr>
        <w:t xml:space="preserve">оценке </w:t>
      </w:r>
      <w:r w:rsidR="00A73BFD">
        <w:rPr>
          <w:rFonts w:ascii="Times New Roman" w:hAnsi="Times New Roman" w:cs="Times New Roman"/>
          <w:sz w:val="24"/>
          <w:szCs w:val="24"/>
        </w:rPr>
        <w:t>приверженности проводимой терапии и</w:t>
      </w:r>
      <w:r w:rsidR="00A73BFD" w:rsidRPr="00A73BFD">
        <w:rPr>
          <w:rFonts w:ascii="Times New Roman" w:hAnsi="Times New Roman" w:cs="Times New Roman"/>
          <w:sz w:val="24"/>
          <w:szCs w:val="24"/>
        </w:rPr>
        <w:t xml:space="preserve"> шкал</w:t>
      </w:r>
      <w:r w:rsidR="00A73BFD">
        <w:rPr>
          <w:rFonts w:ascii="Times New Roman" w:hAnsi="Times New Roman" w:cs="Times New Roman"/>
          <w:sz w:val="24"/>
          <w:szCs w:val="24"/>
        </w:rPr>
        <w:t>у</w:t>
      </w:r>
      <w:r w:rsidR="00A73BFD" w:rsidRPr="00A73BFD">
        <w:rPr>
          <w:rFonts w:ascii="Times New Roman" w:hAnsi="Times New Roman" w:cs="Times New Roman"/>
          <w:sz w:val="24"/>
          <w:szCs w:val="24"/>
        </w:rPr>
        <w:t xml:space="preserve"> общего клинического впечатления CGI–I</w:t>
      </w:r>
      <w:r w:rsidR="0084269C">
        <w:rPr>
          <w:rFonts w:ascii="Times New Roman" w:hAnsi="Times New Roman" w:cs="Times New Roman"/>
          <w:sz w:val="24"/>
          <w:szCs w:val="24"/>
        </w:rPr>
        <w:t>.</w:t>
      </w:r>
    </w:p>
    <w:p w14:paraId="3C4B789F" w14:textId="57FDE2DD" w:rsidR="00A737B9" w:rsidRPr="00A737B9" w:rsidRDefault="00A737B9" w:rsidP="00477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7B9">
        <w:rPr>
          <w:rFonts w:ascii="Times New Roman" w:hAnsi="Times New Roman" w:cs="Times New Roman"/>
          <w:sz w:val="24"/>
          <w:szCs w:val="24"/>
        </w:rPr>
        <w:t>Шкала выраженности боли в горле</w:t>
      </w:r>
      <w:r>
        <w:rPr>
          <w:rFonts w:ascii="Times New Roman" w:hAnsi="Times New Roman" w:cs="Times New Roman"/>
          <w:sz w:val="24"/>
          <w:szCs w:val="24"/>
        </w:rPr>
        <w:t xml:space="preserve"> (ВАШ) представляет собой 10-ти балльную шкалу, где 0 баллов – отсутствие боли, 10 баллов – максимальная </w:t>
      </w:r>
      <w:r w:rsidR="00477F19">
        <w:rPr>
          <w:rFonts w:ascii="Times New Roman" w:hAnsi="Times New Roman" w:cs="Times New Roman"/>
          <w:sz w:val="24"/>
          <w:szCs w:val="24"/>
        </w:rPr>
        <w:t>выраженность симптома</w:t>
      </w:r>
      <w:r w:rsidR="006E304B">
        <w:rPr>
          <w:rFonts w:ascii="Times New Roman" w:hAnsi="Times New Roman" w:cs="Times New Roman"/>
          <w:sz w:val="24"/>
          <w:szCs w:val="24"/>
        </w:rPr>
        <w:t xml:space="preserve"> </w:t>
      </w:r>
      <w:r w:rsidR="006E304B" w:rsidRPr="00F54131">
        <w:rPr>
          <w:rFonts w:ascii="Times New Roman" w:hAnsi="Times New Roman" w:cs="Times New Roman"/>
          <w:sz w:val="24"/>
          <w:szCs w:val="24"/>
        </w:rPr>
        <w:t>[</w:t>
      </w:r>
      <w:r w:rsidR="006E304B">
        <w:rPr>
          <w:rFonts w:ascii="Times New Roman" w:hAnsi="Times New Roman" w:cs="Times New Roman"/>
          <w:sz w:val="24"/>
          <w:szCs w:val="24"/>
        </w:rPr>
        <w:t>16</w:t>
      </w:r>
      <w:r w:rsidR="006E304B" w:rsidRPr="00F54131">
        <w:rPr>
          <w:rFonts w:ascii="Times New Roman" w:hAnsi="Times New Roman" w:cs="Times New Roman"/>
          <w:sz w:val="24"/>
          <w:szCs w:val="24"/>
        </w:rPr>
        <w:t>]</w:t>
      </w:r>
      <w:r w:rsidR="00477F19">
        <w:rPr>
          <w:rFonts w:ascii="Times New Roman" w:hAnsi="Times New Roman" w:cs="Times New Roman"/>
          <w:sz w:val="24"/>
          <w:szCs w:val="24"/>
        </w:rPr>
        <w:t xml:space="preserve">. </w:t>
      </w:r>
      <w:r w:rsidRPr="00A737B9">
        <w:rPr>
          <w:rFonts w:ascii="Times New Roman" w:hAnsi="Times New Roman" w:cs="Times New Roman"/>
          <w:sz w:val="24"/>
          <w:szCs w:val="24"/>
        </w:rPr>
        <w:t>Пациенту предлагалось сделать глотательное движение и оценить выраженность боли в горле, отметив соответствующий балл.</w:t>
      </w:r>
    </w:p>
    <w:p w14:paraId="0B43FE30" w14:textId="00C4FA6F" w:rsidR="00A737B9" w:rsidRPr="003F662F" w:rsidRDefault="00A737B9" w:rsidP="00A73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7B9">
        <w:rPr>
          <w:rFonts w:ascii="Times New Roman" w:hAnsi="Times New Roman" w:cs="Times New Roman"/>
          <w:sz w:val="24"/>
          <w:szCs w:val="24"/>
        </w:rPr>
        <w:t>Шкала трудности глотания (DSS)</w:t>
      </w:r>
      <w:r w:rsidR="00477F19" w:rsidRPr="00477F19">
        <w:rPr>
          <w:rFonts w:ascii="Times New Roman" w:hAnsi="Times New Roman" w:cs="Times New Roman"/>
          <w:sz w:val="24"/>
          <w:szCs w:val="24"/>
        </w:rPr>
        <w:t xml:space="preserve"> </w:t>
      </w:r>
      <w:r w:rsidR="00477F19">
        <w:rPr>
          <w:rFonts w:ascii="Times New Roman" w:hAnsi="Times New Roman" w:cs="Times New Roman"/>
          <w:sz w:val="24"/>
          <w:szCs w:val="24"/>
        </w:rPr>
        <w:t xml:space="preserve">и </w:t>
      </w:r>
      <w:r w:rsidR="00477F19" w:rsidRPr="00A737B9">
        <w:rPr>
          <w:rFonts w:ascii="Times New Roman" w:hAnsi="Times New Roman" w:cs="Times New Roman"/>
          <w:sz w:val="24"/>
          <w:szCs w:val="24"/>
        </w:rPr>
        <w:t>отечности (опухания) горла (SWOTS)</w:t>
      </w:r>
      <w:r w:rsidR="00477F19">
        <w:rPr>
          <w:rFonts w:ascii="Times New Roman" w:hAnsi="Times New Roman" w:cs="Times New Roman"/>
          <w:sz w:val="24"/>
          <w:szCs w:val="24"/>
        </w:rPr>
        <w:t xml:space="preserve"> представляют собой </w:t>
      </w:r>
      <w:r w:rsidR="00477F19" w:rsidRPr="00A737B9">
        <w:rPr>
          <w:rFonts w:ascii="Times New Roman" w:hAnsi="Times New Roman" w:cs="Times New Roman"/>
          <w:sz w:val="24"/>
          <w:szCs w:val="24"/>
        </w:rPr>
        <w:t>100 мм</w:t>
      </w:r>
      <w:r w:rsidR="006E304B">
        <w:rPr>
          <w:rFonts w:ascii="Times New Roman" w:hAnsi="Times New Roman" w:cs="Times New Roman"/>
          <w:sz w:val="24"/>
          <w:szCs w:val="24"/>
        </w:rPr>
        <w:t xml:space="preserve"> шкалу</w:t>
      </w:r>
      <w:r w:rsidR="00477F19">
        <w:rPr>
          <w:rFonts w:ascii="Times New Roman" w:hAnsi="Times New Roman" w:cs="Times New Roman"/>
          <w:sz w:val="24"/>
          <w:szCs w:val="24"/>
        </w:rPr>
        <w:t xml:space="preserve"> для определения </w:t>
      </w:r>
      <w:r w:rsidR="006E304B">
        <w:rPr>
          <w:rFonts w:ascii="Times New Roman" w:hAnsi="Times New Roman" w:cs="Times New Roman"/>
          <w:sz w:val="24"/>
          <w:szCs w:val="24"/>
        </w:rPr>
        <w:t xml:space="preserve">субъективного </w:t>
      </w:r>
      <w:r w:rsidR="00477F19">
        <w:rPr>
          <w:rFonts w:ascii="Times New Roman" w:hAnsi="Times New Roman" w:cs="Times New Roman"/>
          <w:sz w:val="24"/>
          <w:szCs w:val="24"/>
        </w:rPr>
        <w:t xml:space="preserve">затруднения </w:t>
      </w:r>
      <w:r w:rsidR="006E304B">
        <w:rPr>
          <w:rFonts w:ascii="Times New Roman" w:hAnsi="Times New Roman" w:cs="Times New Roman"/>
          <w:sz w:val="24"/>
          <w:szCs w:val="24"/>
        </w:rPr>
        <w:t xml:space="preserve">и дискомфорта </w:t>
      </w:r>
      <w:r w:rsidR="00477F19">
        <w:rPr>
          <w:rFonts w:ascii="Times New Roman" w:hAnsi="Times New Roman" w:cs="Times New Roman"/>
          <w:sz w:val="24"/>
          <w:szCs w:val="24"/>
        </w:rPr>
        <w:t>при</w:t>
      </w:r>
      <w:r w:rsidRPr="00A737B9">
        <w:rPr>
          <w:rFonts w:ascii="Times New Roman" w:hAnsi="Times New Roman" w:cs="Times New Roman"/>
          <w:sz w:val="24"/>
          <w:szCs w:val="24"/>
        </w:rPr>
        <w:t xml:space="preserve"> глотани</w:t>
      </w:r>
      <w:r w:rsidR="00477F19">
        <w:rPr>
          <w:rFonts w:ascii="Times New Roman" w:hAnsi="Times New Roman" w:cs="Times New Roman"/>
          <w:sz w:val="24"/>
          <w:szCs w:val="24"/>
        </w:rPr>
        <w:t>и, где 0</w:t>
      </w:r>
      <w:r w:rsidR="003F662F" w:rsidRPr="003F662F">
        <w:rPr>
          <w:rFonts w:ascii="Times New Roman" w:hAnsi="Times New Roman" w:cs="Times New Roman"/>
          <w:sz w:val="24"/>
          <w:szCs w:val="24"/>
        </w:rPr>
        <w:t xml:space="preserve"> </w:t>
      </w:r>
      <w:r w:rsidR="003F662F">
        <w:rPr>
          <w:rFonts w:ascii="Times New Roman" w:hAnsi="Times New Roman" w:cs="Times New Roman"/>
          <w:sz w:val="24"/>
          <w:szCs w:val="24"/>
        </w:rPr>
        <w:t>мм</w:t>
      </w:r>
      <w:r w:rsidR="00477F19">
        <w:rPr>
          <w:rFonts w:ascii="Times New Roman" w:hAnsi="Times New Roman" w:cs="Times New Roman"/>
          <w:sz w:val="24"/>
          <w:szCs w:val="24"/>
        </w:rPr>
        <w:t xml:space="preserve"> – нет трудности при глотании </w:t>
      </w:r>
      <w:r w:rsidR="003F662F">
        <w:rPr>
          <w:rFonts w:ascii="Times New Roman" w:hAnsi="Times New Roman" w:cs="Times New Roman"/>
          <w:sz w:val="24"/>
          <w:szCs w:val="24"/>
        </w:rPr>
        <w:t>/</w:t>
      </w:r>
      <w:r w:rsidR="00477F19">
        <w:rPr>
          <w:rFonts w:ascii="Times New Roman" w:hAnsi="Times New Roman" w:cs="Times New Roman"/>
          <w:sz w:val="24"/>
          <w:szCs w:val="24"/>
        </w:rPr>
        <w:t xml:space="preserve"> отсутствие ощущения отечности горла, 100 </w:t>
      </w:r>
      <w:r w:rsidR="003F662F">
        <w:rPr>
          <w:rFonts w:ascii="Times New Roman" w:hAnsi="Times New Roman" w:cs="Times New Roman"/>
          <w:sz w:val="24"/>
          <w:szCs w:val="24"/>
        </w:rPr>
        <w:t>мм –</w:t>
      </w:r>
      <w:r w:rsidR="00477F19">
        <w:rPr>
          <w:rFonts w:ascii="Times New Roman" w:hAnsi="Times New Roman" w:cs="Times New Roman"/>
          <w:sz w:val="24"/>
          <w:szCs w:val="24"/>
        </w:rPr>
        <w:t xml:space="preserve"> </w:t>
      </w:r>
      <w:r w:rsidR="003F662F">
        <w:rPr>
          <w:rFonts w:ascii="Times New Roman" w:hAnsi="Times New Roman" w:cs="Times New Roman"/>
          <w:sz w:val="24"/>
          <w:szCs w:val="24"/>
        </w:rPr>
        <w:t>максимальная выраженность симптома</w:t>
      </w:r>
      <w:r w:rsidR="006E304B">
        <w:rPr>
          <w:rFonts w:ascii="Times New Roman" w:hAnsi="Times New Roman" w:cs="Times New Roman"/>
          <w:sz w:val="24"/>
          <w:szCs w:val="24"/>
        </w:rPr>
        <w:t xml:space="preserve"> </w:t>
      </w:r>
      <w:r w:rsidR="006E304B" w:rsidRPr="002205D1">
        <w:rPr>
          <w:rFonts w:ascii="Times New Roman" w:hAnsi="Times New Roman" w:cs="Times New Roman"/>
          <w:sz w:val="24"/>
          <w:szCs w:val="24"/>
        </w:rPr>
        <w:t>[17]</w:t>
      </w:r>
      <w:r w:rsidR="003F662F">
        <w:rPr>
          <w:rFonts w:ascii="Times New Roman" w:hAnsi="Times New Roman" w:cs="Times New Roman"/>
          <w:sz w:val="24"/>
          <w:szCs w:val="24"/>
        </w:rPr>
        <w:t>.</w:t>
      </w:r>
    </w:p>
    <w:p w14:paraId="4F1F9A3C" w14:textId="60184B4F" w:rsidR="00A73BFD" w:rsidRPr="0044342F" w:rsidRDefault="00A73BFD" w:rsidP="00A73B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42F">
        <w:rPr>
          <w:rFonts w:ascii="Times New Roman" w:hAnsi="Times New Roman" w:cs="Times New Roman"/>
          <w:sz w:val="24"/>
          <w:szCs w:val="24"/>
        </w:rPr>
        <w:t xml:space="preserve">Клинический исход терапии оценивался оториноларингологом </w:t>
      </w:r>
      <w:r>
        <w:rPr>
          <w:rFonts w:ascii="Times New Roman" w:hAnsi="Times New Roman" w:cs="Times New Roman"/>
          <w:sz w:val="24"/>
          <w:szCs w:val="24"/>
        </w:rPr>
        <w:t>во время осмотра</w:t>
      </w:r>
      <w:r w:rsidR="002427AD">
        <w:rPr>
          <w:rFonts w:ascii="Times New Roman" w:hAnsi="Times New Roman" w:cs="Times New Roman"/>
          <w:sz w:val="24"/>
          <w:szCs w:val="24"/>
        </w:rPr>
        <w:t xml:space="preserve"> на Визите 3</w:t>
      </w:r>
      <w:r w:rsidRPr="0044342F">
        <w:rPr>
          <w:rFonts w:ascii="Times New Roman" w:hAnsi="Times New Roman" w:cs="Times New Roman"/>
          <w:sz w:val="24"/>
          <w:szCs w:val="24"/>
        </w:rPr>
        <w:t>. Д</w:t>
      </w:r>
      <w:r w:rsidRPr="009B7F72">
        <w:rPr>
          <w:rFonts w:ascii="Times New Roman" w:hAnsi="Times New Roman" w:cs="Times New Roman"/>
          <w:sz w:val="24"/>
          <w:szCs w:val="24"/>
        </w:rPr>
        <w:t>остигнуты</w:t>
      </w:r>
      <w:r w:rsidRPr="0044342F">
        <w:rPr>
          <w:rFonts w:ascii="Times New Roman" w:hAnsi="Times New Roman" w:cs="Times New Roman"/>
          <w:sz w:val="24"/>
          <w:szCs w:val="24"/>
        </w:rPr>
        <w:t>е результаты</w:t>
      </w:r>
      <w:r w:rsidRPr="009B7F72">
        <w:rPr>
          <w:rFonts w:ascii="Times New Roman" w:hAnsi="Times New Roman" w:cs="Times New Roman"/>
          <w:sz w:val="24"/>
          <w:szCs w:val="24"/>
        </w:rPr>
        <w:t xml:space="preserve"> </w:t>
      </w:r>
      <w:r w:rsidRPr="0044342F">
        <w:rPr>
          <w:rFonts w:ascii="Times New Roman" w:hAnsi="Times New Roman" w:cs="Times New Roman"/>
          <w:sz w:val="24"/>
          <w:szCs w:val="24"/>
        </w:rPr>
        <w:t>проведенной терапии определялись как: в</w:t>
      </w:r>
      <w:r w:rsidRPr="009B7F72">
        <w:rPr>
          <w:rFonts w:ascii="Times New Roman" w:hAnsi="Times New Roman" w:cs="Times New Roman"/>
          <w:sz w:val="24"/>
          <w:szCs w:val="24"/>
        </w:rPr>
        <w:t xml:space="preserve">ыздоровление </w:t>
      </w:r>
      <w:r w:rsidRPr="0044342F">
        <w:rPr>
          <w:rFonts w:ascii="Times New Roman" w:hAnsi="Times New Roman" w:cs="Times New Roman"/>
          <w:sz w:val="24"/>
          <w:szCs w:val="24"/>
        </w:rPr>
        <w:t>–</w:t>
      </w:r>
      <w:r w:rsidRPr="009B7F72">
        <w:rPr>
          <w:rFonts w:ascii="Times New Roman" w:hAnsi="Times New Roman" w:cs="Times New Roman"/>
          <w:sz w:val="24"/>
          <w:szCs w:val="24"/>
        </w:rPr>
        <w:t xml:space="preserve"> полное исчезновение клинических симптомов ОТФ после лечения;</w:t>
      </w:r>
      <w:r w:rsidRPr="0044342F">
        <w:rPr>
          <w:rFonts w:ascii="Times New Roman" w:hAnsi="Times New Roman" w:cs="Times New Roman"/>
          <w:sz w:val="24"/>
          <w:szCs w:val="24"/>
        </w:rPr>
        <w:t xml:space="preserve"> у</w:t>
      </w:r>
      <w:r w:rsidRPr="009B7F72">
        <w:rPr>
          <w:rFonts w:ascii="Times New Roman" w:hAnsi="Times New Roman" w:cs="Times New Roman"/>
          <w:sz w:val="24"/>
          <w:szCs w:val="24"/>
        </w:rPr>
        <w:t xml:space="preserve">лучшение </w:t>
      </w:r>
      <w:r w:rsidRPr="0044342F">
        <w:rPr>
          <w:rFonts w:ascii="Times New Roman" w:hAnsi="Times New Roman" w:cs="Times New Roman"/>
          <w:sz w:val="24"/>
          <w:szCs w:val="24"/>
        </w:rPr>
        <w:t>–</w:t>
      </w:r>
      <w:r w:rsidRPr="009B7F72">
        <w:rPr>
          <w:rFonts w:ascii="Times New Roman" w:hAnsi="Times New Roman" w:cs="Times New Roman"/>
          <w:sz w:val="24"/>
          <w:szCs w:val="24"/>
        </w:rPr>
        <w:t xml:space="preserve"> существенное</w:t>
      </w:r>
      <w:r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Pr="009B7F72">
        <w:rPr>
          <w:rFonts w:ascii="Times New Roman" w:hAnsi="Times New Roman" w:cs="Times New Roman"/>
          <w:sz w:val="24"/>
          <w:szCs w:val="24"/>
        </w:rPr>
        <w:t>уменьшение выраженности клинических симптомов ОТФ после лечения.</w:t>
      </w:r>
      <w:r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2427AD">
        <w:rPr>
          <w:rFonts w:ascii="Times New Roman" w:hAnsi="Times New Roman" w:cs="Times New Roman"/>
          <w:sz w:val="24"/>
          <w:szCs w:val="24"/>
        </w:rPr>
        <w:t xml:space="preserve">По абсолютному и относительному количеству пациентов, достигших выздоровления и улучшения, оценивалась эффективность лечения в группах. </w:t>
      </w:r>
      <w:r w:rsidRPr="0044342F">
        <w:rPr>
          <w:rFonts w:ascii="Times New Roman" w:hAnsi="Times New Roman" w:cs="Times New Roman"/>
          <w:sz w:val="24"/>
          <w:szCs w:val="24"/>
        </w:rPr>
        <w:t>Также регистрировалась</w:t>
      </w:r>
      <w:r w:rsidRPr="009B7F72">
        <w:rPr>
          <w:rFonts w:ascii="Times New Roman" w:hAnsi="Times New Roman" w:cs="Times New Roman"/>
          <w:sz w:val="24"/>
          <w:szCs w:val="24"/>
        </w:rPr>
        <w:t xml:space="preserve"> скорость на</w:t>
      </w:r>
      <w:r w:rsidRPr="0044342F">
        <w:rPr>
          <w:rFonts w:ascii="Times New Roman" w:hAnsi="Times New Roman" w:cs="Times New Roman"/>
          <w:sz w:val="24"/>
          <w:szCs w:val="24"/>
        </w:rPr>
        <w:t xml:space="preserve">ступления клинического эффекта </w:t>
      </w:r>
      <w:r w:rsidRPr="009B7F72">
        <w:rPr>
          <w:rFonts w:ascii="Times New Roman" w:hAnsi="Times New Roman" w:cs="Times New Roman"/>
          <w:sz w:val="24"/>
          <w:szCs w:val="24"/>
        </w:rPr>
        <w:t>от проводимой терапии на основании результатов заполнения дневника само</w:t>
      </w:r>
      <w:r w:rsidRPr="0044342F">
        <w:rPr>
          <w:rFonts w:ascii="Times New Roman" w:hAnsi="Times New Roman" w:cs="Times New Roman"/>
          <w:sz w:val="24"/>
          <w:szCs w:val="24"/>
        </w:rPr>
        <w:t>наблюдени</w:t>
      </w:r>
      <w:r w:rsidRPr="009B7F72">
        <w:rPr>
          <w:rFonts w:ascii="Times New Roman" w:hAnsi="Times New Roman" w:cs="Times New Roman"/>
          <w:sz w:val="24"/>
          <w:szCs w:val="24"/>
        </w:rPr>
        <w:t>я.</w:t>
      </w:r>
    </w:p>
    <w:p w14:paraId="1EA8F98E" w14:textId="0159F052" w:rsidR="004444A9" w:rsidRPr="0044342F" w:rsidRDefault="00444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42F">
        <w:rPr>
          <w:rFonts w:ascii="Times New Roman" w:hAnsi="Times New Roman" w:cs="Times New Roman"/>
          <w:sz w:val="24"/>
          <w:szCs w:val="24"/>
        </w:rPr>
        <w:t xml:space="preserve">Приверженность проводимой терапии (в баллах) оценивалась </w:t>
      </w:r>
      <w:r w:rsidR="00F6312A">
        <w:rPr>
          <w:rFonts w:ascii="Times New Roman" w:hAnsi="Times New Roman" w:cs="Times New Roman"/>
          <w:sz w:val="24"/>
          <w:szCs w:val="24"/>
        </w:rPr>
        <w:t>по опроснику Мориски-Грин (</w:t>
      </w:r>
      <w:r w:rsidRPr="0044342F">
        <w:rPr>
          <w:rFonts w:ascii="Times New Roman" w:hAnsi="Times New Roman" w:cs="Times New Roman"/>
          <w:sz w:val="24"/>
          <w:szCs w:val="24"/>
        </w:rPr>
        <w:t>табл</w:t>
      </w:r>
      <w:r w:rsidR="00F6312A">
        <w:rPr>
          <w:rFonts w:ascii="Times New Roman" w:hAnsi="Times New Roman" w:cs="Times New Roman"/>
          <w:sz w:val="24"/>
          <w:szCs w:val="24"/>
        </w:rPr>
        <w:t>. 2</w:t>
      </w:r>
      <w:r w:rsidRPr="0044342F">
        <w:rPr>
          <w:rFonts w:ascii="Times New Roman" w:hAnsi="Times New Roman" w:cs="Times New Roman"/>
          <w:sz w:val="24"/>
          <w:szCs w:val="24"/>
        </w:rPr>
        <w:t>).</w:t>
      </w:r>
      <w:r w:rsidR="003175EF">
        <w:rPr>
          <w:rFonts w:ascii="Times New Roman" w:hAnsi="Times New Roman" w:cs="Times New Roman"/>
          <w:sz w:val="24"/>
          <w:szCs w:val="24"/>
        </w:rPr>
        <w:t xml:space="preserve"> </w:t>
      </w:r>
      <w:r w:rsidR="00190390">
        <w:rPr>
          <w:rFonts w:ascii="Times New Roman" w:hAnsi="Times New Roman" w:cs="Times New Roman"/>
          <w:sz w:val="24"/>
          <w:szCs w:val="24"/>
        </w:rPr>
        <w:t>Результаты подсчитывались по следующим параметрам</w:t>
      </w:r>
      <w:r w:rsidR="003175EF" w:rsidRPr="003175EF">
        <w:rPr>
          <w:rFonts w:ascii="Times New Roman" w:hAnsi="Times New Roman" w:cs="Times New Roman"/>
          <w:sz w:val="24"/>
          <w:szCs w:val="24"/>
        </w:rPr>
        <w:t>:</w:t>
      </w:r>
      <w:r w:rsidR="003175EF">
        <w:rPr>
          <w:rFonts w:ascii="Times New Roman" w:hAnsi="Times New Roman" w:cs="Times New Roman"/>
          <w:sz w:val="24"/>
          <w:szCs w:val="24"/>
        </w:rPr>
        <w:t xml:space="preserve"> </w:t>
      </w:r>
      <w:r w:rsidR="00190390">
        <w:rPr>
          <w:rFonts w:ascii="Times New Roman" w:hAnsi="Times New Roman" w:cs="Times New Roman"/>
          <w:sz w:val="24"/>
          <w:szCs w:val="24"/>
        </w:rPr>
        <w:t>о</w:t>
      </w:r>
      <w:r w:rsidR="00190390" w:rsidRPr="00190390">
        <w:rPr>
          <w:rFonts w:ascii="Times New Roman" w:hAnsi="Times New Roman" w:cs="Times New Roman"/>
          <w:sz w:val="24"/>
          <w:szCs w:val="24"/>
        </w:rPr>
        <w:t>твет «Да»</w:t>
      </w:r>
      <w:r w:rsidR="008146F2">
        <w:rPr>
          <w:rFonts w:ascii="Times New Roman" w:hAnsi="Times New Roman" w:cs="Times New Roman"/>
          <w:sz w:val="24"/>
          <w:szCs w:val="24"/>
        </w:rPr>
        <w:t xml:space="preserve"> –</w:t>
      </w:r>
      <w:r w:rsidR="00190390" w:rsidRPr="00190390">
        <w:rPr>
          <w:rFonts w:ascii="Times New Roman" w:hAnsi="Times New Roman" w:cs="Times New Roman"/>
          <w:sz w:val="24"/>
          <w:szCs w:val="24"/>
        </w:rPr>
        <w:t xml:space="preserve"> 1</w:t>
      </w:r>
      <w:r w:rsidR="00A73BFD" w:rsidRPr="00A73BFD">
        <w:rPr>
          <w:rFonts w:ascii="Times New Roman" w:hAnsi="Times New Roman" w:cs="Times New Roman"/>
          <w:sz w:val="24"/>
          <w:szCs w:val="24"/>
        </w:rPr>
        <w:t xml:space="preserve"> </w:t>
      </w:r>
      <w:r w:rsidR="00190390" w:rsidRPr="00190390">
        <w:rPr>
          <w:rFonts w:ascii="Times New Roman" w:hAnsi="Times New Roman" w:cs="Times New Roman"/>
          <w:sz w:val="24"/>
          <w:szCs w:val="24"/>
        </w:rPr>
        <w:t>балл, ответ «Нет»</w:t>
      </w:r>
      <w:r w:rsidR="008146F2">
        <w:rPr>
          <w:rFonts w:ascii="Times New Roman" w:hAnsi="Times New Roman" w:cs="Times New Roman"/>
          <w:sz w:val="24"/>
          <w:szCs w:val="24"/>
        </w:rPr>
        <w:t xml:space="preserve"> – </w:t>
      </w:r>
      <w:r w:rsidR="00190390" w:rsidRPr="00190390">
        <w:rPr>
          <w:rFonts w:ascii="Times New Roman" w:hAnsi="Times New Roman" w:cs="Times New Roman"/>
          <w:sz w:val="24"/>
          <w:szCs w:val="24"/>
        </w:rPr>
        <w:t>0</w:t>
      </w:r>
      <w:r w:rsidR="003F662F">
        <w:rPr>
          <w:rFonts w:ascii="Times New Roman" w:hAnsi="Times New Roman" w:cs="Times New Roman"/>
          <w:sz w:val="24"/>
          <w:szCs w:val="24"/>
        </w:rPr>
        <w:t xml:space="preserve"> </w:t>
      </w:r>
      <w:r w:rsidR="00190390" w:rsidRPr="00190390">
        <w:rPr>
          <w:rFonts w:ascii="Times New Roman" w:hAnsi="Times New Roman" w:cs="Times New Roman"/>
          <w:sz w:val="24"/>
          <w:szCs w:val="24"/>
        </w:rPr>
        <w:t>баллов</w:t>
      </w:r>
      <w:r w:rsidR="00190390">
        <w:rPr>
          <w:rFonts w:ascii="Times New Roman" w:hAnsi="Times New Roman" w:cs="Times New Roman"/>
          <w:sz w:val="24"/>
          <w:szCs w:val="24"/>
        </w:rPr>
        <w:t>.</w:t>
      </w:r>
      <w:r w:rsidR="00190390" w:rsidRPr="00190390">
        <w:rPr>
          <w:rFonts w:ascii="Times New Roman" w:hAnsi="Times New Roman" w:cs="Times New Roman"/>
          <w:sz w:val="24"/>
          <w:szCs w:val="24"/>
        </w:rPr>
        <w:t xml:space="preserve"> </w:t>
      </w:r>
      <w:r w:rsidR="00190390">
        <w:rPr>
          <w:rFonts w:ascii="Times New Roman" w:hAnsi="Times New Roman" w:cs="Times New Roman"/>
          <w:sz w:val="24"/>
          <w:szCs w:val="24"/>
        </w:rPr>
        <w:t>Если в сумме набиралось 0 баллов, это свидетельствовало о высокой</w:t>
      </w:r>
      <w:r w:rsidR="003175EF" w:rsidRPr="003175EF">
        <w:rPr>
          <w:rFonts w:ascii="Times New Roman" w:hAnsi="Times New Roman" w:cs="Times New Roman"/>
          <w:sz w:val="24"/>
          <w:szCs w:val="24"/>
        </w:rPr>
        <w:t xml:space="preserve"> приверженност</w:t>
      </w:r>
      <w:r w:rsidR="00190390">
        <w:rPr>
          <w:rFonts w:ascii="Times New Roman" w:hAnsi="Times New Roman" w:cs="Times New Roman"/>
          <w:sz w:val="24"/>
          <w:szCs w:val="24"/>
        </w:rPr>
        <w:t>и</w:t>
      </w:r>
      <w:r w:rsidR="003175EF" w:rsidRPr="003175EF">
        <w:rPr>
          <w:rFonts w:ascii="Times New Roman" w:hAnsi="Times New Roman" w:cs="Times New Roman"/>
          <w:sz w:val="24"/>
          <w:szCs w:val="24"/>
        </w:rPr>
        <w:t>;</w:t>
      </w:r>
      <w:r w:rsidR="00190390">
        <w:rPr>
          <w:rFonts w:ascii="Times New Roman" w:hAnsi="Times New Roman" w:cs="Times New Roman"/>
          <w:sz w:val="24"/>
          <w:szCs w:val="24"/>
        </w:rPr>
        <w:t xml:space="preserve"> </w:t>
      </w:r>
      <w:r w:rsidR="003175EF" w:rsidRPr="003175EF">
        <w:rPr>
          <w:rFonts w:ascii="Times New Roman" w:hAnsi="Times New Roman" w:cs="Times New Roman"/>
          <w:sz w:val="24"/>
          <w:szCs w:val="24"/>
        </w:rPr>
        <w:t>1 балл – средняя приверженность;</w:t>
      </w:r>
      <w:r w:rsidR="00190390">
        <w:rPr>
          <w:rFonts w:ascii="Times New Roman" w:hAnsi="Times New Roman" w:cs="Times New Roman"/>
          <w:sz w:val="24"/>
          <w:szCs w:val="24"/>
        </w:rPr>
        <w:t xml:space="preserve"> </w:t>
      </w:r>
      <w:r w:rsidR="003175EF" w:rsidRPr="003175EF">
        <w:rPr>
          <w:rFonts w:ascii="Times New Roman" w:hAnsi="Times New Roman" w:cs="Times New Roman"/>
          <w:sz w:val="24"/>
          <w:szCs w:val="24"/>
        </w:rPr>
        <w:t>&gt;1 баллов – низкая приверженность</w:t>
      </w:r>
      <w:r w:rsidR="00190390">
        <w:rPr>
          <w:rFonts w:ascii="Times New Roman" w:hAnsi="Times New Roman" w:cs="Times New Roman"/>
          <w:sz w:val="24"/>
          <w:szCs w:val="24"/>
        </w:rPr>
        <w:t xml:space="preserve"> </w:t>
      </w:r>
      <w:r w:rsidR="00190390" w:rsidRPr="004F2439">
        <w:rPr>
          <w:rFonts w:ascii="Times New Roman" w:hAnsi="Times New Roman" w:cs="Times New Roman"/>
          <w:sz w:val="24"/>
          <w:szCs w:val="24"/>
        </w:rPr>
        <w:t>[</w:t>
      </w:r>
      <w:r w:rsidR="00190390">
        <w:rPr>
          <w:rFonts w:ascii="Times New Roman" w:hAnsi="Times New Roman" w:cs="Times New Roman"/>
          <w:sz w:val="24"/>
          <w:szCs w:val="24"/>
        </w:rPr>
        <w:t>1</w:t>
      </w:r>
      <w:r w:rsidR="004710BF" w:rsidRPr="004710BF">
        <w:rPr>
          <w:rFonts w:ascii="Times New Roman" w:hAnsi="Times New Roman" w:cs="Times New Roman"/>
          <w:sz w:val="24"/>
          <w:szCs w:val="24"/>
        </w:rPr>
        <w:t>8</w:t>
      </w:r>
      <w:r w:rsidR="00190390" w:rsidRPr="004F2439">
        <w:rPr>
          <w:rFonts w:ascii="Times New Roman" w:hAnsi="Times New Roman" w:cs="Times New Roman"/>
          <w:sz w:val="24"/>
          <w:szCs w:val="24"/>
        </w:rPr>
        <w:t>]</w:t>
      </w:r>
      <w:r w:rsidR="003175EF" w:rsidRPr="003175EF">
        <w:rPr>
          <w:rFonts w:ascii="Times New Roman" w:hAnsi="Times New Roman" w:cs="Times New Roman"/>
          <w:sz w:val="24"/>
          <w:szCs w:val="24"/>
        </w:rPr>
        <w:t>.</w:t>
      </w:r>
    </w:p>
    <w:p w14:paraId="6FC636DA" w14:textId="77777777" w:rsidR="00F54131" w:rsidRDefault="00F541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015247" w14:textId="28FB1C1C" w:rsidR="004444A9" w:rsidRPr="0044342F" w:rsidRDefault="006431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342F"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4434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54131" w:rsidRPr="00F5413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4434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44342F">
        <w:rPr>
          <w:rFonts w:ascii="Times New Roman" w:hAnsi="Times New Roman" w:cs="Times New Roman"/>
          <w:b/>
          <w:sz w:val="24"/>
          <w:szCs w:val="24"/>
        </w:rPr>
        <w:t>Опросник</w:t>
      </w:r>
      <w:r w:rsidRPr="004434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342F">
        <w:rPr>
          <w:rFonts w:ascii="Times New Roman" w:hAnsi="Times New Roman" w:cs="Times New Roman"/>
          <w:b/>
          <w:sz w:val="24"/>
          <w:szCs w:val="24"/>
        </w:rPr>
        <w:t>Мориски</w:t>
      </w:r>
      <w:r w:rsidRPr="0044342F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44342F">
        <w:rPr>
          <w:rFonts w:ascii="Times New Roman" w:hAnsi="Times New Roman" w:cs="Times New Roman"/>
          <w:b/>
          <w:sz w:val="24"/>
          <w:szCs w:val="24"/>
        </w:rPr>
        <w:t>Грин</w:t>
      </w:r>
      <w:r w:rsidRPr="004434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(Morisky Medication Adherence Scale - 4)</w:t>
      </w:r>
    </w:p>
    <w:tbl>
      <w:tblPr>
        <w:tblW w:w="9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6"/>
        <w:gridCol w:w="6715"/>
        <w:gridCol w:w="1016"/>
        <w:gridCol w:w="992"/>
      </w:tblGrid>
      <w:tr w:rsidR="004444A9" w:rsidRPr="002B70A0" w14:paraId="14829494" w14:textId="77777777" w:rsidTr="00207730">
        <w:trPr>
          <w:trHeight w:val="526"/>
        </w:trPr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46244D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EB5F9B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FC201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4444A9" w:rsidRPr="002B70A0" w14:paraId="6A1FB01A" w14:textId="77777777" w:rsidTr="00207730">
        <w:trPr>
          <w:trHeight w:val="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AC10A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C7D38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FC8610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B000E9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4444A9" w:rsidRPr="002B70A0" w14:paraId="0CB0D554" w14:textId="77777777" w:rsidTr="0044342F">
        <w:trPr>
          <w:trHeight w:val="325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3BDE5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88DBF8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лечения Вы забывали принять препарат?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6BBADE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ECC790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4A9" w:rsidRPr="002B70A0" w14:paraId="5DD1F215" w14:textId="77777777" w:rsidTr="0044342F">
        <w:trPr>
          <w:trHeight w:val="377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F4AE49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F1E42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невнимательно относитесь ко времени приема препарата?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887A4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88B3A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4A9" w:rsidRPr="002B70A0" w14:paraId="6E6D2176" w14:textId="77777777" w:rsidTr="00207730">
        <w:trPr>
          <w:trHeight w:val="491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40EA71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6ED097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чувствовали себя лучше, Вы прекращали прием препарата?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4D4AC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9F9D95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4A9" w:rsidRPr="002B70A0" w14:paraId="6853B08B" w14:textId="77777777" w:rsidTr="0044342F">
        <w:trPr>
          <w:trHeight w:val="567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99EE1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1170C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чувствовали себя плохо после приема препарата, Вы пропускали следующий прием?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E0433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93CE06" w14:textId="77777777" w:rsidR="004444A9" w:rsidRPr="002B70A0" w:rsidRDefault="004444A9" w:rsidP="00443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61A161" w14:textId="77777777" w:rsidR="0081100F" w:rsidRDefault="008110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EA109A" w14:textId="257BB5CE" w:rsidR="00BB4925" w:rsidRDefault="00BB4925" w:rsidP="006E30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42F">
        <w:rPr>
          <w:rFonts w:ascii="Times New Roman" w:hAnsi="Times New Roman" w:cs="Times New Roman"/>
          <w:sz w:val="24"/>
          <w:szCs w:val="24"/>
        </w:rPr>
        <w:t>Анализ общего клинического впечатления проводимой терапии проводился по результатам заполнения</w:t>
      </w:r>
      <w:r w:rsidR="00A73BFD">
        <w:rPr>
          <w:rFonts w:ascii="Times New Roman" w:hAnsi="Times New Roman" w:cs="Times New Roman"/>
          <w:sz w:val="24"/>
          <w:szCs w:val="24"/>
        </w:rPr>
        <w:t xml:space="preserve"> </w:t>
      </w:r>
      <w:r w:rsidRPr="0044342F">
        <w:rPr>
          <w:rFonts w:ascii="Times New Roman" w:hAnsi="Times New Roman" w:cs="Times New Roman"/>
          <w:sz w:val="24"/>
          <w:szCs w:val="24"/>
        </w:rPr>
        <w:t>шкалы CGI–I</w:t>
      </w:r>
      <w:r w:rsidR="006E304B">
        <w:rPr>
          <w:rFonts w:ascii="Times New Roman" w:hAnsi="Times New Roman" w:cs="Times New Roman"/>
          <w:sz w:val="24"/>
          <w:szCs w:val="24"/>
        </w:rPr>
        <w:t xml:space="preserve"> </w:t>
      </w:r>
      <w:r w:rsidR="006E304B" w:rsidRPr="0044342F">
        <w:rPr>
          <w:rFonts w:ascii="Times New Roman" w:hAnsi="Times New Roman" w:cs="Times New Roman"/>
          <w:sz w:val="24"/>
          <w:szCs w:val="24"/>
        </w:rPr>
        <w:t>(в баллах</w:t>
      </w:r>
      <w:r w:rsidR="006E304B">
        <w:rPr>
          <w:rFonts w:ascii="Times New Roman" w:hAnsi="Times New Roman" w:cs="Times New Roman"/>
          <w:sz w:val="24"/>
          <w:szCs w:val="24"/>
        </w:rPr>
        <w:t xml:space="preserve"> от 0 до 7: 0 баллов - не поддается оценке; </w:t>
      </w:r>
      <w:r w:rsidR="006E304B" w:rsidRPr="006E304B">
        <w:rPr>
          <w:rFonts w:ascii="Times New Roman" w:hAnsi="Times New Roman" w:cs="Times New Roman"/>
          <w:sz w:val="24"/>
          <w:szCs w:val="24"/>
        </w:rPr>
        <w:t xml:space="preserve">1 балл </w:t>
      </w:r>
      <w:r w:rsidR="006E304B">
        <w:rPr>
          <w:rFonts w:ascii="Times New Roman" w:hAnsi="Times New Roman" w:cs="Times New Roman"/>
          <w:sz w:val="24"/>
          <w:szCs w:val="24"/>
        </w:rPr>
        <w:t>–</w:t>
      </w:r>
      <w:r w:rsidR="006E304B" w:rsidRPr="006E304B">
        <w:rPr>
          <w:rFonts w:ascii="Times New Roman" w:hAnsi="Times New Roman" w:cs="Times New Roman"/>
          <w:sz w:val="24"/>
          <w:szCs w:val="24"/>
        </w:rPr>
        <w:t xml:space="preserve"> сильно</w:t>
      </w:r>
      <w:r w:rsidR="006E304B">
        <w:rPr>
          <w:rFonts w:ascii="Times New Roman" w:hAnsi="Times New Roman" w:cs="Times New Roman"/>
          <w:sz w:val="24"/>
          <w:szCs w:val="24"/>
        </w:rPr>
        <w:t xml:space="preserve"> улучшилось; </w:t>
      </w:r>
      <w:r w:rsidR="006E304B" w:rsidRPr="006E304B">
        <w:rPr>
          <w:rFonts w:ascii="Times New Roman" w:hAnsi="Times New Roman" w:cs="Times New Roman"/>
          <w:sz w:val="24"/>
          <w:szCs w:val="24"/>
        </w:rPr>
        <w:t xml:space="preserve">2 балла </w:t>
      </w:r>
      <w:r w:rsidR="006E304B">
        <w:rPr>
          <w:rFonts w:ascii="Times New Roman" w:hAnsi="Times New Roman" w:cs="Times New Roman"/>
          <w:sz w:val="24"/>
          <w:szCs w:val="24"/>
        </w:rPr>
        <w:t>–</w:t>
      </w:r>
      <w:r w:rsidR="006E304B" w:rsidRPr="006E304B">
        <w:rPr>
          <w:rFonts w:ascii="Times New Roman" w:hAnsi="Times New Roman" w:cs="Times New Roman"/>
          <w:sz w:val="24"/>
          <w:szCs w:val="24"/>
        </w:rPr>
        <w:t xml:space="preserve"> улучшилось</w:t>
      </w:r>
      <w:r w:rsidR="006E304B">
        <w:rPr>
          <w:rFonts w:ascii="Times New Roman" w:hAnsi="Times New Roman" w:cs="Times New Roman"/>
          <w:sz w:val="24"/>
          <w:szCs w:val="24"/>
        </w:rPr>
        <w:t xml:space="preserve">; </w:t>
      </w:r>
      <w:r w:rsidR="006E304B" w:rsidRPr="006E304B">
        <w:rPr>
          <w:rFonts w:ascii="Times New Roman" w:hAnsi="Times New Roman" w:cs="Times New Roman"/>
          <w:sz w:val="24"/>
          <w:szCs w:val="24"/>
        </w:rPr>
        <w:t xml:space="preserve">3 балла </w:t>
      </w:r>
      <w:r w:rsidR="006E304B">
        <w:rPr>
          <w:rFonts w:ascii="Times New Roman" w:hAnsi="Times New Roman" w:cs="Times New Roman"/>
          <w:sz w:val="24"/>
          <w:szCs w:val="24"/>
        </w:rPr>
        <w:t>–</w:t>
      </w:r>
      <w:r w:rsidR="006E304B" w:rsidRPr="006E304B">
        <w:rPr>
          <w:rFonts w:ascii="Times New Roman" w:hAnsi="Times New Roman" w:cs="Times New Roman"/>
          <w:sz w:val="24"/>
          <w:szCs w:val="24"/>
        </w:rPr>
        <w:t xml:space="preserve"> минимальное улучшение</w:t>
      </w:r>
      <w:r w:rsidR="006E304B">
        <w:rPr>
          <w:rFonts w:ascii="Times New Roman" w:hAnsi="Times New Roman" w:cs="Times New Roman"/>
          <w:sz w:val="24"/>
          <w:szCs w:val="24"/>
        </w:rPr>
        <w:t xml:space="preserve">; 4 балла – без изменений; </w:t>
      </w:r>
      <w:r w:rsidR="006E304B" w:rsidRPr="006E304B">
        <w:rPr>
          <w:rFonts w:ascii="Times New Roman" w:hAnsi="Times New Roman" w:cs="Times New Roman"/>
          <w:sz w:val="24"/>
          <w:szCs w:val="24"/>
        </w:rPr>
        <w:t xml:space="preserve">5 баллов </w:t>
      </w:r>
      <w:r w:rsidR="006E304B">
        <w:rPr>
          <w:rFonts w:ascii="Times New Roman" w:hAnsi="Times New Roman" w:cs="Times New Roman"/>
          <w:sz w:val="24"/>
          <w:szCs w:val="24"/>
        </w:rPr>
        <w:t>–</w:t>
      </w:r>
      <w:r w:rsidR="006E304B" w:rsidRPr="006E304B">
        <w:rPr>
          <w:rFonts w:ascii="Times New Roman" w:hAnsi="Times New Roman" w:cs="Times New Roman"/>
          <w:sz w:val="24"/>
          <w:szCs w:val="24"/>
        </w:rPr>
        <w:t xml:space="preserve"> минимальное</w:t>
      </w:r>
      <w:r w:rsidR="006E304B">
        <w:rPr>
          <w:rFonts w:ascii="Times New Roman" w:hAnsi="Times New Roman" w:cs="Times New Roman"/>
          <w:sz w:val="24"/>
          <w:szCs w:val="24"/>
        </w:rPr>
        <w:t xml:space="preserve"> ухудшение; </w:t>
      </w:r>
      <w:r w:rsidR="006E304B" w:rsidRPr="006E304B">
        <w:rPr>
          <w:rFonts w:ascii="Times New Roman" w:hAnsi="Times New Roman" w:cs="Times New Roman"/>
          <w:sz w:val="24"/>
          <w:szCs w:val="24"/>
        </w:rPr>
        <w:t xml:space="preserve">6 баллов </w:t>
      </w:r>
      <w:r w:rsidR="006E304B">
        <w:rPr>
          <w:rFonts w:ascii="Times New Roman" w:hAnsi="Times New Roman" w:cs="Times New Roman"/>
          <w:sz w:val="24"/>
          <w:szCs w:val="24"/>
        </w:rPr>
        <w:t>–</w:t>
      </w:r>
      <w:r w:rsidR="006E304B" w:rsidRPr="006E304B">
        <w:rPr>
          <w:rFonts w:ascii="Times New Roman" w:hAnsi="Times New Roman" w:cs="Times New Roman"/>
          <w:sz w:val="24"/>
          <w:szCs w:val="24"/>
        </w:rPr>
        <w:t xml:space="preserve"> ухудшилось</w:t>
      </w:r>
      <w:r w:rsidR="006E304B">
        <w:rPr>
          <w:rFonts w:ascii="Times New Roman" w:hAnsi="Times New Roman" w:cs="Times New Roman"/>
          <w:sz w:val="24"/>
          <w:szCs w:val="24"/>
        </w:rPr>
        <w:t xml:space="preserve">; </w:t>
      </w:r>
      <w:r w:rsidR="006E304B" w:rsidRPr="006E304B">
        <w:rPr>
          <w:rFonts w:ascii="Times New Roman" w:hAnsi="Times New Roman" w:cs="Times New Roman"/>
          <w:sz w:val="24"/>
          <w:szCs w:val="24"/>
        </w:rPr>
        <w:t xml:space="preserve">7 баллов </w:t>
      </w:r>
      <w:r w:rsidR="006E304B">
        <w:rPr>
          <w:rFonts w:ascii="Times New Roman" w:hAnsi="Times New Roman" w:cs="Times New Roman"/>
          <w:sz w:val="24"/>
          <w:szCs w:val="24"/>
        </w:rPr>
        <w:t>–</w:t>
      </w:r>
      <w:r w:rsidR="006E304B" w:rsidRPr="006E304B">
        <w:rPr>
          <w:rFonts w:ascii="Times New Roman" w:hAnsi="Times New Roman" w:cs="Times New Roman"/>
          <w:sz w:val="24"/>
          <w:szCs w:val="24"/>
        </w:rPr>
        <w:t xml:space="preserve"> сильно ухудшилось</w:t>
      </w:r>
      <w:r w:rsidR="006E304B" w:rsidRPr="0044342F">
        <w:rPr>
          <w:rFonts w:ascii="Times New Roman" w:hAnsi="Times New Roman" w:cs="Times New Roman"/>
          <w:sz w:val="24"/>
          <w:szCs w:val="24"/>
        </w:rPr>
        <w:t>)</w:t>
      </w:r>
      <w:r w:rsidRPr="0044342F">
        <w:rPr>
          <w:rFonts w:ascii="Times New Roman" w:hAnsi="Times New Roman" w:cs="Times New Roman"/>
          <w:sz w:val="24"/>
          <w:szCs w:val="24"/>
        </w:rPr>
        <w:t xml:space="preserve">. Пациенту предлагалось оценить общее улучшение состояния, независимо от того, связано ли оно, по мнению оценивающего, исключительно с лекарственным лечением, оценить насколько оно (общее состояние) изменилось по сравнению с исходным. </w:t>
      </w:r>
      <w:r w:rsidR="00265D19" w:rsidRPr="0044342F">
        <w:rPr>
          <w:rFonts w:ascii="Times New Roman" w:hAnsi="Times New Roman" w:cs="Times New Roman"/>
          <w:sz w:val="24"/>
          <w:szCs w:val="24"/>
        </w:rPr>
        <w:t>По окончанию исследования был</w:t>
      </w:r>
      <w:r w:rsidRPr="0044342F">
        <w:rPr>
          <w:rFonts w:ascii="Times New Roman" w:hAnsi="Times New Roman" w:cs="Times New Roman"/>
          <w:sz w:val="24"/>
          <w:szCs w:val="24"/>
        </w:rPr>
        <w:t xml:space="preserve"> проведен подсчет количества пациентов с результатом 1 и 2 балла по шкале CGI-I, что соответствует значительному улучшению состояния испытуемого</w:t>
      </w:r>
      <w:r w:rsidR="00AE4BB4">
        <w:rPr>
          <w:rFonts w:ascii="Times New Roman" w:hAnsi="Times New Roman" w:cs="Times New Roman"/>
          <w:sz w:val="24"/>
          <w:szCs w:val="24"/>
        </w:rPr>
        <w:t xml:space="preserve"> </w:t>
      </w:r>
      <w:r w:rsidR="00AE4BB4" w:rsidRPr="0044342F">
        <w:rPr>
          <w:rFonts w:ascii="Times New Roman" w:hAnsi="Times New Roman" w:cs="Times New Roman"/>
          <w:sz w:val="24"/>
          <w:szCs w:val="24"/>
        </w:rPr>
        <w:t>[</w:t>
      </w:r>
      <w:r w:rsidR="00951072">
        <w:rPr>
          <w:rFonts w:ascii="Times New Roman" w:hAnsi="Times New Roman" w:cs="Times New Roman"/>
          <w:sz w:val="24"/>
          <w:szCs w:val="24"/>
        </w:rPr>
        <w:t>1</w:t>
      </w:r>
      <w:r w:rsidR="008146F2">
        <w:rPr>
          <w:rFonts w:ascii="Times New Roman" w:hAnsi="Times New Roman" w:cs="Times New Roman"/>
          <w:sz w:val="24"/>
          <w:szCs w:val="24"/>
        </w:rPr>
        <w:t>9</w:t>
      </w:r>
      <w:r w:rsidR="00AE4BB4" w:rsidRPr="0044342F">
        <w:rPr>
          <w:rFonts w:ascii="Times New Roman" w:hAnsi="Times New Roman" w:cs="Times New Roman"/>
          <w:sz w:val="24"/>
          <w:szCs w:val="24"/>
        </w:rPr>
        <w:t>]</w:t>
      </w:r>
      <w:r w:rsidRPr="0044342F">
        <w:rPr>
          <w:rFonts w:ascii="Times New Roman" w:hAnsi="Times New Roman" w:cs="Times New Roman"/>
          <w:sz w:val="24"/>
          <w:szCs w:val="24"/>
        </w:rPr>
        <w:t>.</w:t>
      </w:r>
    </w:p>
    <w:p w14:paraId="06029ADC" w14:textId="0DC873E6" w:rsidR="007037A6" w:rsidRDefault="000D33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3A2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ка безопасности проводимой тера</w:t>
      </w:r>
      <w:r w:rsidRPr="000D33A2">
        <w:rPr>
          <w:rFonts w:ascii="Times New Roman" w:hAnsi="Times New Roman" w:cs="Times New Roman"/>
          <w:sz w:val="24"/>
          <w:szCs w:val="24"/>
        </w:rPr>
        <w:t>пии базировалась на анали</w:t>
      </w:r>
      <w:r>
        <w:rPr>
          <w:rFonts w:ascii="Times New Roman" w:hAnsi="Times New Roman" w:cs="Times New Roman"/>
          <w:sz w:val="24"/>
          <w:szCs w:val="24"/>
        </w:rPr>
        <w:t>зе</w:t>
      </w:r>
      <w:r w:rsidRPr="000D3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нежелательных явлений</w:t>
      </w:r>
      <w:r w:rsidR="00C11904">
        <w:rPr>
          <w:rFonts w:ascii="Times New Roman" w:hAnsi="Times New Roman" w:cs="Times New Roman"/>
          <w:sz w:val="24"/>
          <w:szCs w:val="24"/>
        </w:rPr>
        <w:t xml:space="preserve"> и реакций</w:t>
      </w:r>
      <w:r w:rsidR="00955E1B">
        <w:rPr>
          <w:rFonts w:ascii="Times New Roman" w:hAnsi="Times New Roman" w:cs="Times New Roman"/>
          <w:sz w:val="24"/>
          <w:szCs w:val="24"/>
        </w:rPr>
        <w:t xml:space="preserve"> (НЯ</w:t>
      </w:r>
      <w:r w:rsidR="00C11904">
        <w:rPr>
          <w:rFonts w:ascii="Times New Roman" w:hAnsi="Times New Roman" w:cs="Times New Roman"/>
          <w:sz w:val="24"/>
          <w:szCs w:val="24"/>
        </w:rPr>
        <w:t>, НР</w:t>
      </w:r>
      <w:r w:rsidR="00955E1B">
        <w:rPr>
          <w:rFonts w:ascii="Times New Roman" w:hAnsi="Times New Roman" w:cs="Times New Roman"/>
          <w:sz w:val="24"/>
          <w:szCs w:val="24"/>
        </w:rPr>
        <w:t>)</w:t>
      </w:r>
      <w:r w:rsidR="004D3DF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серьезных нежелательных явлений</w:t>
      </w:r>
      <w:r w:rsidR="00955E1B">
        <w:rPr>
          <w:rFonts w:ascii="Times New Roman" w:hAnsi="Times New Roman" w:cs="Times New Roman"/>
          <w:sz w:val="24"/>
          <w:szCs w:val="24"/>
        </w:rPr>
        <w:t xml:space="preserve"> (СНЯ)</w:t>
      </w:r>
      <w:r>
        <w:rPr>
          <w:rFonts w:ascii="Times New Roman" w:hAnsi="Times New Roman" w:cs="Times New Roman"/>
          <w:sz w:val="24"/>
          <w:szCs w:val="24"/>
        </w:rPr>
        <w:t>, которые регистрировались на каждом визите</w:t>
      </w:r>
      <w:r w:rsidR="007037A6" w:rsidRPr="0044342F">
        <w:rPr>
          <w:rFonts w:ascii="Times New Roman" w:hAnsi="Times New Roman" w:cs="Times New Roman"/>
          <w:sz w:val="24"/>
          <w:szCs w:val="24"/>
        </w:rPr>
        <w:t>.</w:t>
      </w:r>
    </w:p>
    <w:p w14:paraId="79667CD6" w14:textId="1C735711" w:rsidR="00FC5B9E" w:rsidRDefault="00FC5B9E" w:rsidP="00FC5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991">
        <w:rPr>
          <w:rFonts w:ascii="Times New Roman" w:hAnsi="Times New Roman" w:cs="Times New Roman"/>
          <w:sz w:val="24"/>
          <w:szCs w:val="24"/>
        </w:rPr>
        <w:t xml:space="preserve">Согласно протоколу </w:t>
      </w:r>
      <w:r>
        <w:rPr>
          <w:rFonts w:ascii="Times New Roman" w:hAnsi="Times New Roman" w:cs="Times New Roman"/>
          <w:sz w:val="24"/>
          <w:szCs w:val="24"/>
        </w:rPr>
        <w:t>исследования, планировалось про</w:t>
      </w:r>
      <w:r w:rsidRPr="00E55991">
        <w:rPr>
          <w:rFonts w:ascii="Times New Roman" w:hAnsi="Times New Roman" w:cs="Times New Roman"/>
          <w:sz w:val="24"/>
          <w:szCs w:val="24"/>
        </w:rPr>
        <w:t>водить анализ данных по эффективности в</w:t>
      </w:r>
      <w:r>
        <w:rPr>
          <w:rFonts w:ascii="Times New Roman" w:hAnsi="Times New Roman" w:cs="Times New Roman"/>
          <w:sz w:val="24"/>
          <w:szCs w:val="24"/>
        </w:rPr>
        <w:t xml:space="preserve"> популяциях па</w:t>
      </w:r>
      <w:r w:rsidRPr="00E55991">
        <w:rPr>
          <w:rFonts w:ascii="Times New Roman" w:hAnsi="Times New Roman" w:cs="Times New Roman"/>
          <w:sz w:val="24"/>
          <w:szCs w:val="24"/>
        </w:rPr>
        <w:t>циентов PP (Per protoc</w:t>
      </w:r>
      <w:r>
        <w:rPr>
          <w:rFonts w:ascii="Times New Roman" w:hAnsi="Times New Roman" w:cs="Times New Roman"/>
          <w:sz w:val="24"/>
          <w:szCs w:val="24"/>
        </w:rPr>
        <w:t>ol — все рандомизированные паци</w:t>
      </w:r>
      <w:r w:rsidRPr="00E55991">
        <w:rPr>
          <w:rFonts w:ascii="Times New Roman" w:hAnsi="Times New Roman" w:cs="Times New Roman"/>
          <w:sz w:val="24"/>
          <w:szCs w:val="24"/>
        </w:rPr>
        <w:t>енты, получившие терапию</w:t>
      </w:r>
      <w:r w:rsidR="004D3DF5">
        <w:rPr>
          <w:rFonts w:ascii="Times New Roman" w:hAnsi="Times New Roman" w:cs="Times New Roman"/>
          <w:sz w:val="24"/>
          <w:szCs w:val="24"/>
        </w:rPr>
        <w:t>) и</w:t>
      </w:r>
      <w:r w:rsidRPr="00E55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ITT (Intent-to-treat, все рандо</w:t>
      </w:r>
      <w:r w:rsidRPr="00E55991">
        <w:rPr>
          <w:rFonts w:ascii="Times New Roman" w:hAnsi="Times New Roman" w:cs="Times New Roman"/>
          <w:sz w:val="24"/>
          <w:szCs w:val="24"/>
        </w:rPr>
        <w:t>мизированные пациенты). Подгруппы пациентов PP и ITT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991">
        <w:rPr>
          <w:rFonts w:ascii="Times New Roman" w:hAnsi="Times New Roman" w:cs="Times New Roman"/>
          <w:sz w:val="24"/>
          <w:szCs w:val="24"/>
        </w:rPr>
        <w:t>в настоящем исследовании совпали.</w:t>
      </w:r>
    </w:p>
    <w:p w14:paraId="6BD01853" w14:textId="7F91C51B" w:rsidR="00FC5B9E" w:rsidRPr="00F473D4" w:rsidRDefault="00FC5B9E" w:rsidP="00FC5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42F">
        <w:rPr>
          <w:rFonts w:ascii="Times New Roman" w:hAnsi="Times New Roman" w:cs="Times New Roman"/>
          <w:i/>
          <w:sz w:val="24"/>
          <w:szCs w:val="24"/>
        </w:rPr>
        <w:t>Статистическую обработку</w:t>
      </w:r>
      <w:r w:rsidRPr="000946D4">
        <w:rPr>
          <w:rFonts w:ascii="Times New Roman" w:hAnsi="Times New Roman" w:cs="Times New Roman"/>
          <w:sz w:val="24"/>
          <w:szCs w:val="24"/>
        </w:rPr>
        <w:t xml:space="preserve"> и оформление результатов анализа проводили с по</w:t>
      </w:r>
      <w:r>
        <w:rPr>
          <w:rFonts w:ascii="Times New Roman" w:hAnsi="Times New Roman" w:cs="Times New Roman"/>
          <w:sz w:val="24"/>
          <w:szCs w:val="24"/>
        </w:rPr>
        <w:t>мощью пакета статистических про</w:t>
      </w:r>
      <w:r w:rsidRPr="000946D4">
        <w:rPr>
          <w:rFonts w:ascii="Times New Roman" w:hAnsi="Times New Roman" w:cs="Times New Roman"/>
          <w:sz w:val="24"/>
          <w:szCs w:val="24"/>
        </w:rPr>
        <w:t xml:space="preserve">грамм </w:t>
      </w:r>
      <w:r w:rsidRPr="0044342F">
        <w:rPr>
          <w:rFonts w:ascii="Times New Roman" w:hAnsi="Times New Roman" w:cs="Times New Roman"/>
          <w:color w:val="FF0000"/>
          <w:sz w:val="24"/>
          <w:szCs w:val="24"/>
        </w:rPr>
        <w:t xml:space="preserve">IBM SPSS </w:t>
      </w:r>
      <w:proofErr w:type="spellStart"/>
      <w:r w:rsidRPr="0044342F">
        <w:rPr>
          <w:rFonts w:ascii="Times New Roman" w:hAnsi="Times New Roman" w:cs="Times New Roman"/>
          <w:color w:val="FF0000"/>
          <w:sz w:val="24"/>
          <w:szCs w:val="24"/>
        </w:rPr>
        <w:t>Statistics</w:t>
      </w:r>
      <w:proofErr w:type="spellEnd"/>
      <w:r w:rsidRPr="0044342F">
        <w:rPr>
          <w:rFonts w:ascii="Times New Roman" w:hAnsi="Times New Roman" w:cs="Times New Roman"/>
          <w:color w:val="FF0000"/>
          <w:sz w:val="24"/>
          <w:szCs w:val="24"/>
        </w:rPr>
        <w:t xml:space="preserve"> 26, MS EXCEL 2013.</w:t>
      </w:r>
      <w:r>
        <w:rPr>
          <w:rFonts w:ascii="Times New Roman" w:hAnsi="Times New Roman" w:cs="Times New Roman"/>
          <w:sz w:val="24"/>
          <w:szCs w:val="24"/>
        </w:rPr>
        <w:t xml:space="preserve"> Выбор пара</w:t>
      </w:r>
      <w:r w:rsidRPr="000946D4">
        <w:rPr>
          <w:rFonts w:ascii="Times New Roman" w:hAnsi="Times New Roman" w:cs="Times New Roman"/>
          <w:sz w:val="24"/>
          <w:szCs w:val="24"/>
        </w:rPr>
        <w:t>метрических или непар</w:t>
      </w:r>
      <w:r>
        <w:rPr>
          <w:rFonts w:ascii="Times New Roman" w:hAnsi="Times New Roman" w:cs="Times New Roman"/>
          <w:sz w:val="24"/>
          <w:szCs w:val="24"/>
        </w:rPr>
        <w:t>аметрических критериев для пред</w:t>
      </w:r>
      <w:r w:rsidRPr="000946D4">
        <w:rPr>
          <w:rFonts w:ascii="Times New Roman" w:hAnsi="Times New Roman" w:cs="Times New Roman"/>
          <w:sz w:val="24"/>
          <w:szCs w:val="24"/>
        </w:rPr>
        <w:t>ставления данных и тестирования статистических гипотез определяли результ</w:t>
      </w:r>
      <w:r>
        <w:rPr>
          <w:rFonts w:ascii="Times New Roman" w:hAnsi="Times New Roman" w:cs="Times New Roman"/>
          <w:sz w:val="24"/>
          <w:szCs w:val="24"/>
        </w:rPr>
        <w:t>атами критерия Колмогорова—Смир</w:t>
      </w:r>
      <w:r w:rsidRPr="000946D4">
        <w:rPr>
          <w:rFonts w:ascii="Times New Roman" w:hAnsi="Times New Roman" w:cs="Times New Roman"/>
          <w:sz w:val="24"/>
          <w:szCs w:val="24"/>
        </w:rPr>
        <w:t>нова (заключением о наличии/отсутствии статистически значимых отличий расп</w:t>
      </w:r>
      <w:r>
        <w:rPr>
          <w:rFonts w:ascii="Times New Roman" w:hAnsi="Times New Roman" w:cs="Times New Roman"/>
          <w:sz w:val="24"/>
          <w:szCs w:val="24"/>
        </w:rPr>
        <w:t>ределения соответствующего пока</w:t>
      </w:r>
      <w:r w:rsidRPr="000946D4">
        <w:rPr>
          <w:rFonts w:ascii="Times New Roman" w:hAnsi="Times New Roman" w:cs="Times New Roman"/>
          <w:sz w:val="24"/>
          <w:szCs w:val="24"/>
        </w:rPr>
        <w:t>зателя от закона нормального распределения). Сравнение качественных показат</w:t>
      </w:r>
      <w:r>
        <w:rPr>
          <w:rFonts w:ascii="Times New Roman" w:hAnsi="Times New Roman" w:cs="Times New Roman"/>
          <w:sz w:val="24"/>
          <w:szCs w:val="24"/>
        </w:rPr>
        <w:t>елей между группами терапии про</w:t>
      </w:r>
      <w:r w:rsidRPr="000946D4">
        <w:rPr>
          <w:rFonts w:ascii="Times New Roman" w:hAnsi="Times New Roman" w:cs="Times New Roman"/>
          <w:sz w:val="24"/>
          <w:szCs w:val="24"/>
        </w:rPr>
        <w:t>ведено с помощью крит</w:t>
      </w:r>
      <w:r>
        <w:rPr>
          <w:rFonts w:ascii="Times New Roman" w:hAnsi="Times New Roman" w:cs="Times New Roman"/>
          <w:sz w:val="24"/>
          <w:szCs w:val="24"/>
        </w:rPr>
        <w:t xml:space="preserve">ерия χ2 </w:t>
      </w:r>
      <w:r w:rsidR="008B4559">
        <w:rPr>
          <w:rFonts w:ascii="Times New Roman" w:hAnsi="Times New Roman" w:cs="Times New Roman"/>
          <w:sz w:val="24"/>
          <w:szCs w:val="24"/>
        </w:rPr>
        <w:t xml:space="preserve">Пирсона </w:t>
      </w:r>
      <w:r>
        <w:rPr>
          <w:rFonts w:ascii="Times New Roman" w:hAnsi="Times New Roman" w:cs="Times New Roman"/>
          <w:sz w:val="24"/>
          <w:szCs w:val="24"/>
        </w:rPr>
        <w:t>или точного критерия Фи</w:t>
      </w:r>
      <w:r w:rsidRPr="000946D4">
        <w:rPr>
          <w:rFonts w:ascii="Times New Roman" w:hAnsi="Times New Roman" w:cs="Times New Roman"/>
          <w:sz w:val="24"/>
          <w:szCs w:val="24"/>
        </w:rPr>
        <w:t>шера. Для сравнения количественных показателей между группами терапии испо</w:t>
      </w:r>
      <w:r>
        <w:rPr>
          <w:rFonts w:ascii="Times New Roman" w:hAnsi="Times New Roman" w:cs="Times New Roman"/>
          <w:sz w:val="24"/>
          <w:szCs w:val="24"/>
        </w:rPr>
        <w:t>льзован t-тест Стьюдента для не</w:t>
      </w:r>
      <w:r w:rsidRPr="000946D4">
        <w:rPr>
          <w:rFonts w:ascii="Times New Roman" w:hAnsi="Times New Roman" w:cs="Times New Roman"/>
          <w:sz w:val="24"/>
          <w:szCs w:val="24"/>
        </w:rPr>
        <w:t>зависимых совокуп</w:t>
      </w:r>
      <w:r w:rsidR="00BD32BF">
        <w:rPr>
          <w:rFonts w:ascii="Times New Roman" w:hAnsi="Times New Roman" w:cs="Times New Roman"/>
          <w:sz w:val="24"/>
          <w:szCs w:val="24"/>
        </w:rPr>
        <w:t>ностей или U-критерий Манна-</w:t>
      </w:r>
      <w:r>
        <w:rPr>
          <w:rFonts w:ascii="Times New Roman" w:hAnsi="Times New Roman" w:cs="Times New Roman"/>
          <w:sz w:val="24"/>
          <w:szCs w:val="24"/>
        </w:rPr>
        <w:t>Уит</w:t>
      </w:r>
      <w:r w:rsidRPr="000946D4">
        <w:rPr>
          <w:rFonts w:ascii="Times New Roman" w:hAnsi="Times New Roman" w:cs="Times New Roman"/>
          <w:sz w:val="24"/>
          <w:szCs w:val="24"/>
        </w:rPr>
        <w:t xml:space="preserve">ни. Для сравнения количественных показателей </w:t>
      </w:r>
      <w:r w:rsidRPr="000946D4">
        <w:rPr>
          <w:rFonts w:ascii="Times New Roman" w:hAnsi="Times New Roman" w:cs="Times New Roman"/>
          <w:sz w:val="24"/>
          <w:szCs w:val="24"/>
        </w:rPr>
        <w:lastRenderedPageBreak/>
        <w:t>в группах использован T-критер</w:t>
      </w:r>
      <w:r>
        <w:rPr>
          <w:rFonts w:ascii="Times New Roman" w:hAnsi="Times New Roman" w:cs="Times New Roman"/>
          <w:sz w:val="24"/>
          <w:szCs w:val="24"/>
        </w:rPr>
        <w:t xml:space="preserve">ий Уилкоксона. </w:t>
      </w:r>
      <w:r w:rsidR="00A878EA">
        <w:rPr>
          <w:rFonts w:ascii="Times New Roman" w:hAnsi="Times New Roman" w:cs="Times New Roman"/>
          <w:sz w:val="24"/>
          <w:szCs w:val="24"/>
        </w:rPr>
        <w:t xml:space="preserve">Для </w:t>
      </w:r>
      <w:r w:rsidR="00A878EA" w:rsidRPr="00A878EA">
        <w:rPr>
          <w:rFonts w:ascii="Times New Roman" w:hAnsi="Times New Roman" w:cs="Times New Roman"/>
          <w:sz w:val="24"/>
          <w:szCs w:val="24"/>
        </w:rPr>
        <w:t xml:space="preserve">анализа дисперсии </w:t>
      </w:r>
      <w:r w:rsidR="00A878EA">
        <w:rPr>
          <w:rFonts w:ascii="Times New Roman" w:hAnsi="Times New Roman" w:cs="Times New Roman"/>
          <w:sz w:val="24"/>
          <w:szCs w:val="24"/>
        </w:rPr>
        <w:t>показателей в группах применялся метод</w:t>
      </w:r>
      <w:r w:rsidR="00A878EA" w:rsidRPr="00A878EA">
        <w:rPr>
          <w:rFonts w:ascii="Times New Roman" w:hAnsi="Times New Roman" w:cs="Times New Roman"/>
          <w:sz w:val="24"/>
          <w:szCs w:val="24"/>
        </w:rPr>
        <w:t xml:space="preserve"> ANOVA</w:t>
      </w:r>
      <w:r w:rsidR="00253940">
        <w:rPr>
          <w:rFonts w:ascii="Times New Roman" w:hAnsi="Times New Roman" w:cs="Times New Roman"/>
          <w:sz w:val="24"/>
          <w:szCs w:val="24"/>
        </w:rPr>
        <w:t xml:space="preserve"> (смешанная модель)</w:t>
      </w:r>
      <w:r w:rsidR="00A878EA" w:rsidRPr="00A878EA">
        <w:rPr>
          <w:rFonts w:ascii="Times New Roman" w:hAnsi="Times New Roman" w:cs="Times New Roman"/>
          <w:sz w:val="24"/>
          <w:szCs w:val="24"/>
        </w:rPr>
        <w:t>.</w:t>
      </w:r>
      <w:r w:rsidR="00A87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оценки досто</w:t>
      </w:r>
      <w:r w:rsidRPr="000946D4">
        <w:rPr>
          <w:rFonts w:ascii="Times New Roman" w:hAnsi="Times New Roman" w:cs="Times New Roman"/>
          <w:sz w:val="24"/>
          <w:szCs w:val="24"/>
        </w:rPr>
        <w:t>верности различий меж</w:t>
      </w:r>
      <w:r>
        <w:rPr>
          <w:rFonts w:ascii="Times New Roman" w:hAnsi="Times New Roman" w:cs="Times New Roman"/>
          <w:sz w:val="24"/>
          <w:szCs w:val="24"/>
        </w:rPr>
        <w:t>ду процентными долями двух выбо</w:t>
      </w:r>
      <w:r w:rsidRPr="000946D4">
        <w:rPr>
          <w:rFonts w:ascii="Times New Roman" w:hAnsi="Times New Roman" w:cs="Times New Roman"/>
          <w:sz w:val="24"/>
          <w:szCs w:val="24"/>
        </w:rPr>
        <w:t xml:space="preserve">рок, в которых зарегистрирован интересующий эффект, </w:t>
      </w:r>
      <w:r w:rsidR="008B4559">
        <w:rPr>
          <w:rFonts w:ascii="Times New Roman" w:hAnsi="Times New Roman" w:cs="Times New Roman"/>
          <w:sz w:val="24"/>
          <w:szCs w:val="24"/>
        </w:rPr>
        <w:t>использован критерий</w:t>
      </w:r>
      <w:r w:rsidR="008B4559" w:rsidRPr="008B4559">
        <w:rPr>
          <w:rFonts w:ascii="Times New Roman" w:hAnsi="Times New Roman" w:cs="Times New Roman"/>
          <w:sz w:val="24"/>
          <w:szCs w:val="24"/>
        </w:rPr>
        <w:t xml:space="preserve"> Барнарда</w:t>
      </w:r>
      <w:r w:rsidRPr="000946D4">
        <w:rPr>
          <w:rFonts w:ascii="Times New Roman" w:hAnsi="Times New Roman" w:cs="Times New Roman"/>
          <w:sz w:val="24"/>
          <w:szCs w:val="24"/>
        </w:rPr>
        <w:t>. Статистические тесты были проведены для односторонней гипотез</w:t>
      </w:r>
      <w:r>
        <w:rPr>
          <w:rFonts w:ascii="Times New Roman" w:hAnsi="Times New Roman" w:cs="Times New Roman"/>
          <w:sz w:val="24"/>
          <w:szCs w:val="24"/>
        </w:rPr>
        <w:t>ы при уровне статистической зна</w:t>
      </w:r>
      <w:r w:rsidRPr="000946D4">
        <w:rPr>
          <w:rFonts w:ascii="Times New Roman" w:hAnsi="Times New Roman" w:cs="Times New Roman"/>
          <w:sz w:val="24"/>
          <w:szCs w:val="24"/>
        </w:rPr>
        <w:t>чимости, равном 0,05.</w:t>
      </w:r>
    </w:p>
    <w:p w14:paraId="1C11FEBE" w14:textId="77777777" w:rsidR="00FC5B9E" w:rsidRPr="0044342F" w:rsidRDefault="00FC5B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826E92" w14:textId="68338E38" w:rsidR="00E15911" w:rsidRPr="0044342F" w:rsidRDefault="001276A1" w:rsidP="00414A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42F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2A02B6" w:rsidRPr="0044342F">
        <w:rPr>
          <w:rFonts w:ascii="Times New Roman" w:hAnsi="Times New Roman" w:cs="Times New Roman"/>
          <w:b/>
          <w:bCs/>
          <w:sz w:val="24"/>
          <w:szCs w:val="24"/>
        </w:rPr>
        <w:t xml:space="preserve"> и обсуждение</w:t>
      </w:r>
    </w:p>
    <w:p w14:paraId="185428D2" w14:textId="68EF8766" w:rsidR="00414A22" w:rsidRPr="00085E05" w:rsidRDefault="00414A22" w:rsidP="008B4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E05">
        <w:rPr>
          <w:rFonts w:ascii="Times New Roman" w:hAnsi="Times New Roman" w:cs="Times New Roman"/>
          <w:sz w:val="24"/>
          <w:szCs w:val="24"/>
        </w:rPr>
        <w:t xml:space="preserve">В исследование было включено 60 взрослых пациентов с </w:t>
      </w:r>
      <w:r>
        <w:rPr>
          <w:rFonts w:ascii="Times New Roman" w:hAnsi="Times New Roman" w:cs="Times New Roman"/>
          <w:sz w:val="24"/>
          <w:szCs w:val="24"/>
        </w:rPr>
        <w:t>ОТФ стрептококковой этиологии</w:t>
      </w:r>
      <w:r w:rsidRPr="00085E05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155948652"/>
      <w:r w:rsidRPr="00085E05">
        <w:rPr>
          <w:rFonts w:ascii="Times New Roman" w:hAnsi="Times New Roman" w:cs="Times New Roman"/>
          <w:sz w:val="24"/>
          <w:szCs w:val="24"/>
        </w:rPr>
        <w:t xml:space="preserve">Среди пациентов было 22 мужчины и 38 женщин. </w:t>
      </w:r>
      <w:bookmarkStart w:id="2" w:name="_Hlk155948625"/>
      <w:bookmarkEnd w:id="1"/>
      <w:r w:rsidRPr="00085E05">
        <w:rPr>
          <w:rFonts w:ascii="Times New Roman" w:hAnsi="Times New Roman" w:cs="Times New Roman"/>
          <w:sz w:val="24"/>
          <w:szCs w:val="24"/>
        </w:rPr>
        <w:t>Возрастной диапазон обследуемых составил от 18 до 57 лет</w:t>
      </w:r>
      <w:r w:rsidR="0084269C">
        <w:rPr>
          <w:rFonts w:ascii="Times New Roman" w:hAnsi="Times New Roman" w:cs="Times New Roman"/>
          <w:sz w:val="24"/>
          <w:szCs w:val="24"/>
        </w:rPr>
        <w:t xml:space="preserve"> (средний возраст 31,05±9,56</w:t>
      </w:r>
      <w:r w:rsidR="002427AD">
        <w:rPr>
          <w:rFonts w:ascii="Times New Roman" w:hAnsi="Times New Roman" w:cs="Times New Roman"/>
          <w:sz w:val="24"/>
          <w:szCs w:val="24"/>
        </w:rPr>
        <w:t xml:space="preserve"> год)</w:t>
      </w:r>
      <w:r w:rsidRPr="00085E05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</w:p>
    <w:p w14:paraId="6FAEB09D" w14:textId="523D660B" w:rsidR="00414A22" w:rsidRPr="00085E05" w:rsidRDefault="00414A22" w:rsidP="00414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Пациенты в группах не различались по полу, возрасту и результатам диагностической шкалы Мак</w:t>
      </w:r>
      <w:r w:rsidRPr="00085E05">
        <w:rPr>
          <w:rFonts w:ascii="Times New Roman" w:hAnsi="Times New Roman" w:cs="Times New Roman"/>
          <w:sz w:val="24"/>
          <w:szCs w:val="24"/>
        </w:rPr>
        <w:t>Айзека (</w:t>
      </w:r>
      <w:r w:rsidRPr="00085E0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85E05">
        <w:rPr>
          <w:rFonts w:ascii="Times New Roman" w:hAnsi="Times New Roman" w:cs="Times New Roman"/>
          <w:sz w:val="24"/>
          <w:szCs w:val="24"/>
        </w:rPr>
        <w:t>&gt;0,05) (</w:t>
      </w:r>
      <w:r>
        <w:rPr>
          <w:rFonts w:ascii="Times New Roman" w:hAnsi="Times New Roman" w:cs="Times New Roman"/>
          <w:sz w:val="24"/>
          <w:szCs w:val="24"/>
        </w:rPr>
        <w:t>табл.</w:t>
      </w:r>
      <w:r w:rsidRPr="00085E05">
        <w:rPr>
          <w:rFonts w:ascii="Times New Roman" w:hAnsi="Times New Roman" w:cs="Times New Roman"/>
          <w:sz w:val="24"/>
          <w:szCs w:val="24"/>
        </w:rPr>
        <w:t xml:space="preserve"> </w:t>
      </w:r>
      <w:r w:rsidR="00F6312A">
        <w:rPr>
          <w:rFonts w:ascii="Times New Roman" w:hAnsi="Times New Roman" w:cs="Times New Roman"/>
          <w:sz w:val="24"/>
          <w:szCs w:val="24"/>
        </w:rPr>
        <w:t>3</w:t>
      </w:r>
      <w:r w:rsidRPr="00085E05">
        <w:rPr>
          <w:rFonts w:ascii="Times New Roman" w:hAnsi="Times New Roman" w:cs="Times New Roman"/>
          <w:sz w:val="24"/>
          <w:szCs w:val="24"/>
        </w:rPr>
        <w:t>).</w:t>
      </w:r>
    </w:p>
    <w:p w14:paraId="1BBA7D4F" w14:textId="77777777" w:rsidR="00414A22" w:rsidRPr="00085E05" w:rsidRDefault="00414A22" w:rsidP="00414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6065B" w14:textId="295766CC" w:rsidR="00414A22" w:rsidRPr="004710BF" w:rsidRDefault="00F6312A" w:rsidP="00414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="00414A22" w:rsidRPr="004710BF">
        <w:rPr>
          <w:rFonts w:ascii="Times New Roman" w:hAnsi="Times New Roman" w:cs="Times New Roman"/>
          <w:b/>
          <w:sz w:val="24"/>
          <w:szCs w:val="24"/>
        </w:rPr>
        <w:t>. Распределение пациентов в группах по полу</w:t>
      </w:r>
      <w:r w:rsidR="00F52C40">
        <w:rPr>
          <w:rFonts w:ascii="Times New Roman" w:hAnsi="Times New Roman" w:cs="Times New Roman"/>
          <w:b/>
          <w:sz w:val="24"/>
          <w:szCs w:val="24"/>
        </w:rPr>
        <w:t xml:space="preserve">, возрасту и баллу по шкале </w:t>
      </w:r>
      <w:proofErr w:type="spellStart"/>
      <w:r w:rsidR="00F52C40">
        <w:rPr>
          <w:rFonts w:ascii="Times New Roman" w:hAnsi="Times New Roman" w:cs="Times New Roman"/>
          <w:b/>
          <w:sz w:val="24"/>
          <w:szCs w:val="24"/>
        </w:rPr>
        <w:t>Мак</w:t>
      </w:r>
      <w:r w:rsidR="00414A22" w:rsidRPr="004710BF">
        <w:rPr>
          <w:rFonts w:ascii="Times New Roman" w:hAnsi="Times New Roman" w:cs="Times New Roman"/>
          <w:b/>
          <w:sz w:val="24"/>
          <w:szCs w:val="24"/>
        </w:rPr>
        <w:t>Айзека</w:t>
      </w:r>
      <w:proofErr w:type="spellEnd"/>
      <w:r w:rsidR="00414A22" w:rsidRPr="004710B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268"/>
        <w:gridCol w:w="2410"/>
        <w:gridCol w:w="1134"/>
      </w:tblGrid>
      <w:tr w:rsidR="00414A22" w:rsidRPr="002B70A0" w14:paraId="622C09B6" w14:textId="77777777" w:rsidTr="00414A22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EB5E9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59837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D5764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E4FE6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</w:tr>
      <w:tr w:rsidR="00414A22" w:rsidRPr="002B70A0" w14:paraId="4958C0DE" w14:textId="77777777" w:rsidTr="00414A22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D7F2E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4EF69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177F8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4435B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22" w:rsidRPr="002B70A0" w14:paraId="05591098" w14:textId="77777777" w:rsidTr="00414A22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BD113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0AA3C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22 (73,3%)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F7BAA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16 (53,3%)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8079E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  <w:r w:rsidRPr="00085E05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*</w:t>
            </w:r>
          </w:p>
        </w:tc>
      </w:tr>
      <w:tr w:rsidR="00414A22" w:rsidRPr="002B70A0" w14:paraId="63E2E389" w14:textId="77777777" w:rsidTr="00414A22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E42AD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0CE2D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8 (26,7%)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25A55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14 (46,7%)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0B03B61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22" w:rsidRPr="002B70A0" w14:paraId="2B4A06B9" w14:textId="77777777" w:rsidTr="00414A22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FDCCF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6A31A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BF53D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BE201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22" w:rsidRPr="002B70A0" w14:paraId="57B07378" w14:textId="77777777" w:rsidTr="00414A22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0B030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Медиана (Q1; Q3)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3F822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32,0 (23,5; 35,8)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2E9E6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27,0 (21,0; 34,8)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3E336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 w:rsidRPr="00085E05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о</w:t>
            </w:r>
          </w:p>
        </w:tc>
      </w:tr>
      <w:tr w:rsidR="00414A22" w:rsidRPr="002B70A0" w14:paraId="5FA3E070" w14:textId="77777777" w:rsidTr="00414A22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AAF2B" w14:textId="3060F310" w:rsidR="00414A22" w:rsidRPr="00085E05" w:rsidRDefault="008B4559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Мак</w:t>
            </w:r>
            <w:r w:rsidR="00414A22" w:rsidRPr="0008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Айзек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 баллы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EBFA9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BBBB1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C5489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22" w:rsidRPr="002B70A0" w14:paraId="6D2E0E08" w14:textId="77777777" w:rsidTr="00414A22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60C45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175E8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0 (0,0%)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4F9A7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1 (3,3%)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A7A98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  <w:r w:rsidRPr="00085E05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*</w:t>
            </w:r>
          </w:p>
        </w:tc>
      </w:tr>
      <w:tr w:rsidR="00414A22" w:rsidRPr="002B70A0" w14:paraId="0C523BDC" w14:textId="77777777" w:rsidTr="00414A22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D29A4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33F3D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7 (23,3%)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DC5A6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5 (16,7%)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45DE0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22" w:rsidRPr="002B70A0" w14:paraId="70EF5860" w14:textId="77777777" w:rsidTr="00414A22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F2676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357E8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12 (40,0%)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02D5B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12 (40,0%)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8E03D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22" w:rsidRPr="002B70A0" w14:paraId="6554B139" w14:textId="77777777" w:rsidTr="00414A22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E615F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A5527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11 (36,7%)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17244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05">
              <w:rPr>
                <w:rFonts w:ascii="Times New Roman" w:hAnsi="Times New Roman" w:cs="Times New Roman"/>
                <w:sz w:val="24"/>
                <w:szCs w:val="24"/>
              </w:rPr>
              <w:t>12 (40,0%)</w:t>
            </w: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95DEA" w14:textId="77777777" w:rsidR="00414A22" w:rsidRPr="00085E05" w:rsidRDefault="00414A22" w:rsidP="00D735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1FC207" w14:textId="77777777" w:rsidR="00414A22" w:rsidRPr="00085E05" w:rsidRDefault="00414A22" w:rsidP="00414A2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5E0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*</w:t>
      </w:r>
      <w:r w:rsidRPr="00085E05">
        <w:rPr>
          <w:rFonts w:ascii="Times New Roman" w:hAnsi="Times New Roman" w:cs="Times New Roman"/>
          <w:i/>
          <w:iCs/>
          <w:sz w:val="24"/>
          <w:szCs w:val="24"/>
        </w:rPr>
        <w:t xml:space="preserve"> - критерий хи-квадрат Пирсона</w:t>
      </w:r>
    </w:p>
    <w:p w14:paraId="46637D14" w14:textId="77777777" w:rsidR="00414A22" w:rsidRPr="00085E05" w:rsidRDefault="00414A22" w:rsidP="00414A2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5E0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о</w:t>
      </w:r>
      <w:r w:rsidRPr="00085E05">
        <w:rPr>
          <w:rFonts w:ascii="Times New Roman" w:hAnsi="Times New Roman" w:cs="Times New Roman"/>
          <w:i/>
          <w:iCs/>
          <w:sz w:val="24"/>
          <w:szCs w:val="24"/>
        </w:rPr>
        <w:t xml:space="preserve"> - критерий Манна-Уитни</w:t>
      </w:r>
    </w:p>
    <w:p w14:paraId="71C24FE4" w14:textId="77777777" w:rsidR="00414A22" w:rsidRPr="00085E05" w:rsidRDefault="00414A22" w:rsidP="00414A2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7FBFAF" w14:textId="0C454C3C" w:rsidR="00414A22" w:rsidRPr="00085E05" w:rsidRDefault="00414A22" w:rsidP="00414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05">
        <w:rPr>
          <w:rFonts w:ascii="Times New Roman" w:hAnsi="Times New Roman" w:cs="Times New Roman"/>
          <w:sz w:val="24"/>
          <w:szCs w:val="24"/>
        </w:rPr>
        <w:tab/>
        <w:t xml:space="preserve">Большинство пациентов с диагнозом </w:t>
      </w:r>
      <w:r>
        <w:rPr>
          <w:rFonts w:ascii="Times New Roman" w:hAnsi="Times New Roman" w:cs="Times New Roman"/>
          <w:sz w:val="24"/>
          <w:szCs w:val="24"/>
        </w:rPr>
        <w:t>ОТФ</w:t>
      </w:r>
      <w:r w:rsidR="008B4559">
        <w:rPr>
          <w:rFonts w:ascii="Times New Roman" w:hAnsi="Times New Roman" w:cs="Times New Roman"/>
          <w:sz w:val="24"/>
          <w:szCs w:val="24"/>
        </w:rPr>
        <w:t xml:space="preserve"> по клинической шкале Мак</w:t>
      </w:r>
      <w:r w:rsidRPr="00085E05">
        <w:rPr>
          <w:rFonts w:ascii="Times New Roman" w:hAnsi="Times New Roman" w:cs="Times New Roman"/>
          <w:sz w:val="24"/>
          <w:szCs w:val="24"/>
        </w:rPr>
        <w:t>Айзека имели 3-4 балла.</w:t>
      </w:r>
    </w:p>
    <w:p w14:paraId="3B0313DD" w14:textId="2FF9C76D" w:rsidR="001276A1" w:rsidRDefault="001276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42F">
        <w:rPr>
          <w:rFonts w:ascii="Times New Roman" w:hAnsi="Times New Roman" w:cs="Times New Roman"/>
          <w:sz w:val="24"/>
          <w:szCs w:val="24"/>
        </w:rPr>
        <w:lastRenderedPageBreak/>
        <w:t xml:space="preserve">У всех пациентов с </w:t>
      </w:r>
      <w:r w:rsidR="00207730">
        <w:rPr>
          <w:rFonts w:ascii="Times New Roman" w:hAnsi="Times New Roman" w:cs="Times New Roman"/>
          <w:sz w:val="24"/>
          <w:szCs w:val="24"/>
        </w:rPr>
        <w:t>ОТФ</w:t>
      </w:r>
      <w:r w:rsidRPr="0044342F">
        <w:rPr>
          <w:rFonts w:ascii="Times New Roman" w:hAnsi="Times New Roman" w:cs="Times New Roman"/>
          <w:sz w:val="24"/>
          <w:szCs w:val="24"/>
        </w:rPr>
        <w:t>, которые получали системную антибактериальную терапию амоксициллин</w:t>
      </w:r>
      <w:r w:rsidR="00F44F02" w:rsidRPr="0044342F">
        <w:rPr>
          <w:rFonts w:ascii="Times New Roman" w:hAnsi="Times New Roman" w:cs="Times New Roman"/>
          <w:sz w:val="24"/>
          <w:szCs w:val="24"/>
        </w:rPr>
        <w:t>ом</w:t>
      </w:r>
      <w:r w:rsidRPr="0044342F">
        <w:rPr>
          <w:rFonts w:ascii="Times New Roman" w:hAnsi="Times New Roman" w:cs="Times New Roman"/>
          <w:sz w:val="24"/>
          <w:szCs w:val="24"/>
        </w:rPr>
        <w:t xml:space="preserve"> с клавулановой кислотой в течение 10 дней, вне зависимости от групп, отмечено значимое </w:t>
      </w:r>
      <w:r w:rsidR="004121A4">
        <w:rPr>
          <w:rFonts w:ascii="Times New Roman" w:hAnsi="Times New Roman" w:cs="Times New Roman"/>
          <w:sz w:val="24"/>
          <w:szCs w:val="24"/>
        </w:rPr>
        <w:t xml:space="preserve">объективное </w:t>
      </w:r>
      <w:r w:rsidRPr="0044342F">
        <w:rPr>
          <w:rFonts w:ascii="Times New Roman" w:hAnsi="Times New Roman" w:cs="Times New Roman"/>
          <w:sz w:val="24"/>
          <w:szCs w:val="24"/>
        </w:rPr>
        <w:t xml:space="preserve">клиническое улучшение, которое не потребовало дальнейшей системной антибактериальной терапии. В первой группе, которая получала </w:t>
      </w:r>
      <w:r w:rsidR="001C4E7D" w:rsidRPr="0044342F">
        <w:rPr>
          <w:rFonts w:ascii="Times New Roman" w:hAnsi="Times New Roman" w:cs="Times New Roman"/>
          <w:sz w:val="24"/>
          <w:szCs w:val="24"/>
        </w:rPr>
        <w:t>Ам</w:t>
      </w:r>
      <w:r w:rsidR="00207730">
        <w:rPr>
          <w:rFonts w:ascii="Times New Roman" w:hAnsi="Times New Roman" w:cs="Times New Roman"/>
          <w:sz w:val="24"/>
          <w:szCs w:val="24"/>
        </w:rPr>
        <w:t>оксициллин</w:t>
      </w:r>
      <w:r w:rsidR="001C4E7D" w:rsidRPr="0044342F">
        <w:rPr>
          <w:rFonts w:ascii="Times New Roman" w:hAnsi="Times New Roman" w:cs="Times New Roman"/>
          <w:sz w:val="24"/>
          <w:szCs w:val="24"/>
        </w:rPr>
        <w:t>+Кл</w:t>
      </w:r>
      <w:r w:rsidR="00207730">
        <w:rPr>
          <w:rFonts w:ascii="Times New Roman" w:hAnsi="Times New Roman" w:cs="Times New Roman"/>
          <w:sz w:val="24"/>
          <w:szCs w:val="24"/>
        </w:rPr>
        <w:t>авулановая кислота</w:t>
      </w:r>
      <w:r w:rsidR="001C4E7D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207730">
        <w:rPr>
          <w:rFonts w:ascii="Times New Roman" w:hAnsi="Times New Roman" w:cs="Times New Roman"/>
          <w:sz w:val="24"/>
          <w:szCs w:val="24"/>
        </w:rPr>
        <w:t>ЭКСПРЕСС</w:t>
      </w:r>
      <w:r w:rsidR="00F8461B" w:rsidRPr="0044342F">
        <w:rPr>
          <w:rFonts w:ascii="Times New Roman" w:hAnsi="Times New Roman" w:cs="Times New Roman"/>
          <w:sz w:val="24"/>
          <w:szCs w:val="24"/>
        </w:rPr>
        <w:t>, у 29</w:t>
      </w:r>
      <w:r w:rsidR="004121A4">
        <w:rPr>
          <w:rFonts w:ascii="Times New Roman" w:hAnsi="Times New Roman" w:cs="Times New Roman"/>
          <w:sz w:val="24"/>
          <w:szCs w:val="24"/>
        </w:rPr>
        <w:t xml:space="preserve"> </w:t>
      </w:r>
      <w:r w:rsidR="00F8461B" w:rsidRPr="0044342F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4121A4">
        <w:rPr>
          <w:rFonts w:ascii="Times New Roman" w:hAnsi="Times New Roman" w:cs="Times New Roman"/>
          <w:sz w:val="24"/>
          <w:szCs w:val="24"/>
        </w:rPr>
        <w:t>(96,6%)</w:t>
      </w:r>
      <w:r w:rsidR="004121A4" w:rsidRPr="006D46FA">
        <w:rPr>
          <w:rFonts w:ascii="Times New Roman" w:hAnsi="Times New Roman" w:cs="Times New Roman"/>
          <w:sz w:val="24"/>
          <w:szCs w:val="24"/>
        </w:rPr>
        <w:t xml:space="preserve"> </w:t>
      </w:r>
      <w:r w:rsidR="00F8461B" w:rsidRPr="0044342F">
        <w:rPr>
          <w:rFonts w:ascii="Times New Roman" w:hAnsi="Times New Roman" w:cs="Times New Roman"/>
          <w:sz w:val="24"/>
          <w:szCs w:val="24"/>
        </w:rPr>
        <w:t>наблюдалось полное выздоровление, против 28 человек</w:t>
      </w:r>
      <w:r w:rsidR="004121A4">
        <w:rPr>
          <w:rFonts w:ascii="Times New Roman" w:hAnsi="Times New Roman" w:cs="Times New Roman"/>
          <w:sz w:val="24"/>
          <w:szCs w:val="24"/>
        </w:rPr>
        <w:t xml:space="preserve"> (93,3%)</w:t>
      </w:r>
      <w:r w:rsidR="00F8461B" w:rsidRPr="0044342F">
        <w:rPr>
          <w:rFonts w:ascii="Times New Roman" w:hAnsi="Times New Roman" w:cs="Times New Roman"/>
          <w:sz w:val="24"/>
          <w:szCs w:val="24"/>
        </w:rPr>
        <w:t xml:space="preserve"> во второй группе, которая получала</w:t>
      </w:r>
      <w:r w:rsidR="00207730">
        <w:rPr>
          <w:rFonts w:ascii="Times New Roman" w:hAnsi="Times New Roman" w:cs="Times New Roman"/>
          <w:sz w:val="24"/>
          <w:szCs w:val="24"/>
        </w:rPr>
        <w:t xml:space="preserve"> амоксициллин</w:t>
      </w:r>
      <w:r w:rsidR="008B4559">
        <w:rPr>
          <w:rFonts w:ascii="Times New Roman" w:hAnsi="Times New Roman" w:cs="Times New Roman"/>
          <w:sz w:val="24"/>
          <w:szCs w:val="24"/>
        </w:rPr>
        <w:t xml:space="preserve"> </w:t>
      </w:r>
      <w:r w:rsidR="00207730">
        <w:rPr>
          <w:rFonts w:ascii="Times New Roman" w:hAnsi="Times New Roman" w:cs="Times New Roman"/>
          <w:sz w:val="24"/>
          <w:szCs w:val="24"/>
        </w:rPr>
        <w:t>+</w:t>
      </w:r>
      <w:r w:rsidR="008B4559">
        <w:rPr>
          <w:rFonts w:ascii="Times New Roman" w:hAnsi="Times New Roman" w:cs="Times New Roman"/>
          <w:sz w:val="24"/>
          <w:szCs w:val="24"/>
        </w:rPr>
        <w:t xml:space="preserve"> </w:t>
      </w:r>
      <w:r w:rsidR="00207730">
        <w:rPr>
          <w:rFonts w:ascii="Times New Roman" w:hAnsi="Times New Roman" w:cs="Times New Roman"/>
          <w:sz w:val="24"/>
          <w:szCs w:val="24"/>
        </w:rPr>
        <w:t xml:space="preserve">клавулановая кислота </w:t>
      </w:r>
      <w:r w:rsidR="008B4559">
        <w:rPr>
          <w:rFonts w:ascii="Times New Roman" w:hAnsi="Times New Roman" w:cs="Times New Roman"/>
          <w:sz w:val="24"/>
          <w:szCs w:val="24"/>
        </w:rPr>
        <w:t xml:space="preserve">(Амоксиклав) </w:t>
      </w:r>
      <w:r w:rsidR="00207730">
        <w:rPr>
          <w:rFonts w:ascii="Times New Roman" w:hAnsi="Times New Roman" w:cs="Times New Roman"/>
          <w:sz w:val="24"/>
          <w:szCs w:val="24"/>
        </w:rPr>
        <w:t>в форме таблеток, покрытых оболочкой</w:t>
      </w:r>
      <w:r w:rsidR="00F8461B" w:rsidRPr="0044342F">
        <w:rPr>
          <w:rFonts w:ascii="Times New Roman" w:hAnsi="Times New Roman" w:cs="Times New Roman"/>
          <w:sz w:val="24"/>
          <w:szCs w:val="24"/>
        </w:rPr>
        <w:t>.</w:t>
      </w:r>
      <w:r w:rsidR="00182D79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036F9C" w:rsidRPr="0044342F">
        <w:rPr>
          <w:rFonts w:ascii="Times New Roman" w:hAnsi="Times New Roman" w:cs="Times New Roman"/>
          <w:sz w:val="24"/>
          <w:szCs w:val="24"/>
        </w:rPr>
        <w:t>Различия не были ста</w:t>
      </w:r>
      <w:r w:rsidR="0051123C" w:rsidRPr="0044342F">
        <w:rPr>
          <w:rFonts w:ascii="Times New Roman" w:hAnsi="Times New Roman" w:cs="Times New Roman"/>
          <w:sz w:val="24"/>
          <w:szCs w:val="24"/>
        </w:rPr>
        <w:t>тистически значимы (точный тест Фише</w:t>
      </w:r>
      <w:r w:rsidR="002B681E" w:rsidRPr="0044342F">
        <w:rPr>
          <w:rFonts w:ascii="Times New Roman" w:hAnsi="Times New Roman" w:cs="Times New Roman"/>
          <w:sz w:val="24"/>
          <w:szCs w:val="24"/>
        </w:rPr>
        <w:t xml:space="preserve">ра, </w:t>
      </w:r>
      <w:r w:rsidR="0051123C" w:rsidRPr="0044342F">
        <w:rPr>
          <w:rFonts w:ascii="Times New Roman" w:hAnsi="Times New Roman" w:cs="Times New Roman"/>
          <w:sz w:val="24"/>
          <w:szCs w:val="24"/>
        </w:rPr>
        <w:t>р=1,0</w:t>
      </w:r>
      <w:r w:rsidR="002B681E" w:rsidRPr="0044342F">
        <w:rPr>
          <w:rFonts w:ascii="Times New Roman" w:hAnsi="Times New Roman" w:cs="Times New Roman"/>
          <w:sz w:val="24"/>
          <w:szCs w:val="24"/>
        </w:rPr>
        <w:t>).</w:t>
      </w:r>
      <w:r w:rsidR="00F8461B" w:rsidRPr="0044342F">
        <w:rPr>
          <w:rFonts w:ascii="Times New Roman" w:hAnsi="Times New Roman" w:cs="Times New Roman"/>
          <w:sz w:val="24"/>
          <w:szCs w:val="24"/>
        </w:rPr>
        <w:t xml:space="preserve"> У одного пациента в первой группе и 2 пациентов во второй группе </w:t>
      </w:r>
      <w:r w:rsidR="008B4559">
        <w:rPr>
          <w:rFonts w:ascii="Times New Roman" w:hAnsi="Times New Roman" w:cs="Times New Roman"/>
          <w:sz w:val="24"/>
          <w:szCs w:val="24"/>
        </w:rPr>
        <w:t xml:space="preserve">на Визите 3 </w:t>
      </w:r>
      <w:r w:rsidR="00F8461B" w:rsidRPr="0044342F">
        <w:rPr>
          <w:rFonts w:ascii="Times New Roman" w:hAnsi="Times New Roman" w:cs="Times New Roman"/>
          <w:sz w:val="24"/>
          <w:szCs w:val="24"/>
        </w:rPr>
        <w:t>сохранялась гиперемия задней стенки глотки при фарингоскопии, однако пациенты чувствовали себя хорошо</w:t>
      </w:r>
      <w:r w:rsidR="000F0BEA" w:rsidRPr="0044342F">
        <w:rPr>
          <w:rFonts w:ascii="Times New Roman" w:hAnsi="Times New Roman" w:cs="Times New Roman"/>
          <w:sz w:val="24"/>
          <w:szCs w:val="24"/>
        </w:rPr>
        <w:t xml:space="preserve"> (рис.</w:t>
      </w:r>
      <w:r w:rsidR="00817138">
        <w:rPr>
          <w:rFonts w:ascii="Times New Roman" w:hAnsi="Times New Roman" w:cs="Times New Roman"/>
          <w:sz w:val="24"/>
          <w:szCs w:val="24"/>
        </w:rPr>
        <w:t>1</w:t>
      </w:r>
      <w:r w:rsidR="000F0BEA" w:rsidRPr="0044342F">
        <w:rPr>
          <w:rFonts w:ascii="Times New Roman" w:hAnsi="Times New Roman" w:cs="Times New Roman"/>
          <w:sz w:val="24"/>
          <w:szCs w:val="24"/>
        </w:rPr>
        <w:t>)</w:t>
      </w:r>
      <w:r w:rsidR="00F8461B" w:rsidRPr="004434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B303C3" w14:textId="070BE887" w:rsidR="00296480" w:rsidRDefault="008B4559" w:rsidP="00842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69C">
        <w:rPr>
          <w:rFonts w:ascii="Times New Roman" w:hAnsi="Times New Roman" w:cs="Times New Roman"/>
          <w:b/>
          <w:sz w:val="24"/>
          <w:szCs w:val="24"/>
        </w:rPr>
        <w:t>Рисунок 1</w:t>
      </w:r>
      <w:r w:rsidR="0084269C">
        <w:rPr>
          <w:rFonts w:ascii="Times New Roman" w:hAnsi="Times New Roman" w:cs="Times New Roman"/>
          <w:b/>
          <w:sz w:val="24"/>
          <w:szCs w:val="24"/>
        </w:rPr>
        <w:t>.</w:t>
      </w:r>
      <w:r w:rsidRPr="008B4559">
        <w:rPr>
          <w:rFonts w:ascii="Times New Roman" w:hAnsi="Times New Roman" w:cs="Times New Roman"/>
          <w:sz w:val="24"/>
          <w:szCs w:val="24"/>
        </w:rPr>
        <w:t xml:space="preserve"> </w:t>
      </w:r>
      <w:r w:rsidR="0084269C" w:rsidRPr="0084269C">
        <w:rPr>
          <w:rFonts w:ascii="Times New Roman" w:hAnsi="Times New Roman" w:cs="Times New Roman"/>
          <w:b/>
          <w:sz w:val="24"/>
          <w:szCs w:val="24"/>
        </w:rPr>
        <w:t>Количество пациентов в группах 1 и 2 с выздоровлением и улучшением на фоне терапии</w:t>
      </w:r>
    </w:p>
    <w:p w14:paraId="6EE44461" w14:textId="77777777" w:rsidR="0084269C" w:rsidRPr="0084269C" w:rsidRDefault="0084269C" w:rsidP="00842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69D41" w14:textId="3F52A618" w:rsidR="00182633" w:rsidRPr="0044342F" w:rsidRDefault="006678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42F">
        <w:rPr>
          <w:noProof/>
          <w:sz w:val="24"/>
          <w:szCs w:val="24"/>
          <w:lang w:eastAsia="ru-RU"/>
        </w:rPr>
        <w:drawing>
          <wp:inline distT="0" distB="0" distL="0" distR="0" wp14:anchorId="424A9878" wp14:editId="72EB20CF">
            <wp:extent cx="3881348" cy="2981325"/>
            <wp:effectExtent l="0" t="0" r="5080" b="0"/>
            <wp:docPr id="1849915361" name="Picture 2" descr="A graph with black and whit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915361" name="Picture 2" descr="A graph with black and white b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891" cy="298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B7921" w14:textId="77777777" w:rsidR="00296480" w:rsidRDefault="00296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5BC594" w14:textId="12CC9112" w:rsidR="00F95D09" w:rsidRPr="0044342F" w:rsidRDefault="009D13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42F">
        <w:rPr>
          <w:rFonts w:ascii="Times New Roman" w:hAnsi="Times New Roman" w:cs="Times New Roman"/>
          <w:sz w:val="24"/>
          <w:szCs w:val="24"/>
        </w:rPr>
        <w:t xml:space="preserve">При оценке симптомов на 3 день лечения </w:t>
      </w:r>
      <w:r w:rsidR="00687639" w:rsidRPr="0044342F">
        <w:rPr>
          <w:rFonts w:ascii="Times New Roman" w:hAnsi="Times New Roman" w:cs="Times New Roman"/>
          <w:sz w:val="24"/>
          <w:szCs w:val="24"/>
        </w:rPr>
        <w:t xml:space="preserve">все пациенты, включенные в исследование, отметили улучшение. По шкале </w:t>
      </w:r>
      <w:r w:rsidR="0084269C">
        <w:rPr>
          <w:rFonts w:ascii="Times New Roman" w:hAnsi="Times New Roman" w:cs="Times New Roman"/>
          <w:sz w:val="24"/>
          <w:szCs w:val="24"/>
        </w:rPr>
        <w:t>клинического впечатления</w:t>
      </w:r>
      <w:r w:rsidR="00687639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687639" w:rsidRPr="0044342F">
        <w:rPr>
          <w:rFonts w:ascii="Times New Roman" w:hAnsi="Times New Roman" w:cs="Times New Roman"/>
          <w:sz w:val="24"/>
          <w:szCs w:val="24"/>
          <w:lang w:val="en-US"/>
        </w:rPr>
        <w:t>CGI</w:t>
      </w:r>
      <w:r w:rsidR="00687639" w:rsidRPr="0044342F">
        <w:rPr>
          <w:rFonts w:ascii="Times New Roman" w:hAnsi="Times New Roman" w:cs="Times New Roman"/>
          <w:sz w:val="24"/>
          <w:szCs w:val="24"/>
        </w:rPr>
        <w:t>-</w:t>
      </w:r>
      <w:r w:rsidR="00687639" w:rsidRPr="004434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87639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7615A2" w:rsidRPr="0044342F">
        <w:rPr>
          <w:rFonts w:ascii="Times New Roman" w:hAnsi="Times New Roman" w:cs="Times New Roman"/>
          <w:sz w:val="24"/>
          <w:szCs w:val="24"/>
        </w:rPr>
        <w:t>11</w:t>
      </w:r>
      <w:r w:rsidR="00687639" w:rsidRPr="0044342F">
        <w:rPr>
          <w:rFonts w:ascii="Times New Roman" w:hAnsi="Times New Roman" w:cs="Times New Roman"/>
          <w:sz w:val="24"/>
          <w:szCs w:val="24"/>
        </w:rPr>
        <w:t xml:space="preserve"> пациентов</w:t>
      </w:r>
      <w:r w:rsidR="007615A2" w:rsidRPr="0044342F">
        <w:rPr>
          <w:rFonts w:ascii="Times New Roman" w:hAnsi="Times New Roman" w:cs="Times New Roman"/>
          <w:sz w:val="24"/>
          <w:szCs w:val="24"/>
        </w:rPr>
        <w:t xml:space="preserve"> (36,6%)</w:t>
      </w:r>
      <w:r w:rsidR="00687639" w:rsidRPr="0044342F">
        <w:rPr>
          <w:rFonts w:ascii="Times New Roman" w:hAnsi="Times New Roman" w:cs="Times New Roman"/>
          <w:sz w:val="24"/>
          <w:szCs w:val="24"/>
        </w:rPr>
        <w:t xml:space="preserve"> в группе </w:t>
      </w:r>
      <w:r w:rsidR="00A737B9">
        <w:rPr>
          <w:rFonts w:ascii="Times New Roman" w:hAnsi="Times New Roman" w:cs="Times New Roman"/>
          <w:sz w:val="24"/>
          <w:szCs w:val="24"/>
        </w:rPr>
        <w:t xml:space="preserve">1 </w:t>
      </w:r>
      <w:r w:rsidR="009D5883">
        <w:rPr>
          <w:rFonts w:ascii="Times New Roman" w:hAnsi="Times New Roman" w:cs="Times New Roman"/>
          <w:sz w:val="24"/>
          <w:szCs w:val="24"/>
        </w:rPr>
        <w:t>определили</w:t>
      </w:r>
      <w:r w:rsidR="00687639" w:rsidRPr="0044342F">
        <w:rPr>
          <w:rFonts w:ascii="Times New Roman" w:hAnsi="Times New Roman" w:cs="Times New Roman"/>
          <w:sz w:val="24"/>
          <w:szCs w:val="24"/>
        </w:rPr>
        <w:t xml:space="preserve"> очень сильное улучшение, против </w:t>
      </w:r>
      <w:r w:rsidR="007615A2" w:rsidRPr="0044342F">
        <w:rPr>
          <w:rFonts w:ascii="Times New Roman" w:hAnsi="Times New Roman" w:cs="Times New Roman"/>
          <w:sz w:val="24"/>
          <w:szCs w:val="24"/>
        </w:rPr>
        <w:t>9 (</w:t>
      </w:r>
      <w:r w:rsidR="00687639" w:rsidRPr="0044342F">
        <w:rPr>
          <w:rFonts w:ascii="Times New Roman" w:hAnsi="Times New Roman" w:cs="Times New Roman"/>
          <w:sz w:val="24"/>
          <w:szCs w:val="24"/>
        </w:rPr>
        <w:t>30,0%</w:t>
      </w:r>
      <w:r w:rsidR="007615A2" w:rsidRPr="0044342F">
        <w:rPr>
          <w:rFonts w:ascii="Times New Roman" w:hAnsi="Times New Roman" w:cs="Times New Roman"/>
          <w:sz w:val="24"/>
          <w:szCs w:val="24"/>
        </w:rPr>
        <w:t xml:space="preserve">) </w:t>
      </w:r>
      <w:r w:rsidR="00A737B9">
        <w:rPr>
          <w:rFonts w:ascii="Times New Roman" w:hAnsi="Times New Roman" w:cs="Times New Roman"/>
          <w:sz w:val="24"/>
          <w:szCs w:val="24"/>
        </w:rPr>
        <w:t>в</w:t>
      </w:r>
      <w:r w:rsidR="00687639" w:rsidRPr="0044342F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A737B9">
        <w:rPr>
          <w:rFonts w:ascii="Times New Roman" w:hAnsi="Times New Roman" w:cs="Times New Roman"/>
          <w:sz w:val="24"/>
          <w:szCs w:val="24"/>
        </w:rPr>
        <w:t xml:space="preserve"> 2</w:t>
      </w:r>
      <w:r w:rsidR="00687639" w:rsidRPr="0044342F">
        <w:rPr>
          <w:rFonts w:ascii="Times New Roman" w:hAnsi="Times New Roman" w:cs="Times New Roman"/>
          <w:sz w:val="24"/>
          <w:szCs w:val="24"/>
        </w:rPr>
        <w:t xml:space="preserve">, </w:t>
      </w:r>
      <w:r w:rsidR="00482070" w:rsidRPr="0044342F">
        <w:rPr>
          <w:rFonts w:ascii="Times New Roman" w:hAnsi="Times New Roman" w:cs="Times New Roman"/>
          <w:sz w:val="24"/>
          <w:szCs w:val="24"/>
        </w:rPr>
        <w:t xml:space="preserve">сильное улучшение </w:t>
      </w:r>
      <w:r w:rsidR="00691771" w:rsidRPr="0044342F">
        <w:rPr>
          <w:rFonts w:ascii="Times New Roman" w:hAnsi="Times New Roman" w:cs="Times New Roman"/>
          <w:sz w:val="24"/>
          <w:szCs w:val="24"/>
        </w:rPr>
        <w:t>–</w:t>
      </w:r>
      <w:r w:rsidR="00482070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691771" w:rsidRPr="0044342F">
        <w:rPr>
          <w:rFonts w:ascii="Times New Roman" w:hAnsi="Times New Roman" w:cs="Times New Roman"/>
          <w:sz w:val="24"/>
          <w:szCs w:val="24"/>
        </w:rPr>
        <w:t xml:space="preserve">17 (56,7%) против </w:t>
      </w:r>
      <w:r w:rsidR="00074593" w:rsidRPr="0044342F">
        <w:rPr>
          <w:rFonts w:ascii="Times New Roman" w:hAnsi="Times New Roman" w:cs="Times New Roman"/>
          <w:sz w:val="24"/>
          <w:szCs w:val="24"/>
        </w:rPr>
        <w:t>20 (66,7%) пациентов соответственно. Р</w:t>
      </w:r>
      <w:r w:rsidR="00687639" w:rsidRPr="0044342F">
        <w:rPr>
          <w:rFonts w:ascii="Times New Roman" w:hAnsi="Times New Roman" w:cs="Times New Roman"/>
          <w:sz w:val="24"/>
          <w:szCs w:val="24"/>
        </w:rPr>
        <w:t>азличи</w:t>
      </w:r>
      <w:r w:rsidR="00074593" w:rsidRPr="0044342F">
        <w:rPr>
          <w:rFonts w:ascii="Times New Roman" w:hAnsi="Times New Roman" w:cs="Times New Roman"/>
          <w:sz w:val="24"/>
          <w:szCs w:val="24"/>
        </w:rPr>
        <w:t>я</w:t>
      </w:r>
      <w:r w:rsidR="00687639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6431C5" w:rsidRPr="0044342F">
        <w:rPr>
          <w:rFonts w:ascii="Times New Roman" w:hAnsi="Times New Roman" w:cs="Times New Roman"/>
          <w:sz w:val="24"/>
          <w:szCs w:val="24"/>
        </w:rPr>
        <w:t xml:space="preserve">между группами </w:t>
      </w:r>
      <w:r w:rsidR="00687639" w:rsidRPr="0044342F">
        <w:rPr>
          <w:rFonts w:ascii="Times New Roman" w:hAnsi="Times New Roman" w:cs="Times New Roman"/>
          <w:sz w:val="24"/>
          <w:szCs w:val="24"/>
        </w:rPr>
        <w:t>не был</w:t>
      </w:r>
      <w:r w:rsidR="00074593" w:rsidRPr="0044342F">
        <w:rPr>
          <w:rFonts w:ascii="Times New Roman" w:hAnsi="Times New Roman" w:cs="Times New Roman"/>
          <w:sz w:val="24"/>
          <w:szCs w:val="24"/>
        </w:rPr>
        <w:t>и</w:t>
      </w:r>
      <w:r w:rsidR="00687639" w:rsidRPr="0044342F">
        <w:rPr>
          <w:rFonts w:ascii="Times New Roman" w:hAnsi="Times New Roman" w:cs="Times New Roman"/>
          <w:sz w:val="24"/>
          <w:szCs w:val="24"/>
        </w:rPr>
        <w:t xml:space="preserve"> статистически значим</w:t>
      </w:r>
      <w:r w:rsidR="00074593" w:rsidRPr="0044342F">
        <w:rPr>
          <w:rFonts w:ascii="Times New Roman" w:hAnsi="Times New Roman" w:cs="Times New Roman"/>
          <w:sz w:val="24"/>
          <w:szCs w:val="24"/>
        </w:rPr>
        <w:t>ы</w:t>
      </w:r>
      <w:r w:rsidR="001A5049" w:rsidRPr="0044342F">
        <w:rPr>
          <w:rFonts w:ascii="Times New Roman" w:hAnsi="Times New Roman" w:cs="Times New Roman"/>
          <w:sz w:val="24"/>
          <w:szCs w:val="24"/>
        </w:rPr>
        <w:t xml:space="preserve"> (</w:t>
      </w:r>
      <w:r w:rsidR="00DE5784" w:rsidRPr="0044342F">
        <w:rPr>
          <w:rFonts w:ascii="Times New Roman" w:hAnsi="Times New Roman" w:cs="Times New Roman"/>
          <w:sz w:val="24"/>
          <w:szCs w:val="24"/>
        </w:rPr>
        <w:t xml:space="preserve">критерий хи-квадрат Пирсона, </w:t>
      </w:r>
      <w:r w:rsidR="001A5049" w:rsidRPr="0044342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B43F6" w:rsidRPr="0044342F">
        <w:rPr>
          <w:rFonts w:ascii="Times New Roman" w:hAnsi="Times New Roman" w:cs="Times New Roman"/>
          <w:sz w:val="24"/>
          <w:szCs w:val="24"/>
        </w:rPr>
        <w:t>=0,678</w:t>
      </w:r>
      <w:r w:rsidR="001A5049" w:rsidRPr="0044342F">
        <w:rPr>
          <w:rFonts w:ascii="Times New Roman" w:hAnsi="Times New Roman" w:cs="Times New Roman"/>
          <w:sz w:val="24"/>
          <w:szCs w:val="24"/>
        </w:rPr>
        <w:t>).</w:t>
      </w:r>
    </w:p>
    <w:p w14:paraId="5CDDE198" w14:textId="3E92D9DB" w:rsidR="009D13B1" w:rsidRPr="0044342F" w:rsidRDefault="001A50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42F">
        <w:rPr>
          <w:rFonts w:ascii="Times New Roman" w:hAnsi="Times New Roman" w:cs="Times New Roman"/>
          <w:sz w:val="24"/>
          <w:szCs w:val="24"/>
        </w:rPr>
        <w:t xml:space="preserve">На 3 день лечения боль в горле отсутствовала у </w:t>
      </w:r>
      <w:r w:rsidR="00E11A8E" w:rsidRPr="0044342F">
        <w:rPr>
          <w:rFonts w:ascii="Times New Roman" w:hAnsi="Times New Roman" w:cs="Times New Roman"/>
          <w:sz w:val="24"/>
          <w:szCs w:val="24"/>
        </w:rPr>
        <w:t>3</w:t>
      </w:r>
      <w:r w:rsidRPr="0044342F">
        <w:rPr>
          <w:rFonts w:ascii="Times New Roman" w:hAnsi="Times New Roman" w:cs="Times New Roman"/>
          <w:sz w:val="24"/>
          <w:szCs w:val="24"/>
        </w:rPr>
        <w:t xml:space="preserve"> пациентов</w:t>
      </w:r>
      <w:r w:rsidR="00E11A8E" w:rsidRPr="0044342F">
        <w:rPr>
          <w:rFonts w:ascii="Times New Roman" w:hAnsi="Times New Roman" w:cs="Times New Roman"/>
          <w:sz w:val="24"/>
          <w:szCs w:val="24"/>
        </w:rPr>
        <w:t xml:space="preserve"> (10%)</w:t>
      </w:r>
      <w:r w:rsidRPr="0044342F">
        <w:rPr>
          <w:rFonts w:ascii="Times New Roman" w:hAnsi="Times New Roman" w:cs="Times New Roman"/>
          <w:sz w:val="24"/>
          <w:szCs w:val="24"/>
        </w:rPr>
        <w:t xml:space="preserve"> в первой группе и у </w:t>
      </w:r>
      <w:r w:rsidR="00E11A8E" w:rsidRPr="0044342F">
        <w:rPr>
          <w:rFonts w:ascii="Times New Roman" w:hAnsi="Times New Roman" w:cs="Times New Roman"/>
          <w:sz w:val="24"/>
          <w:szCs w:val="24"/>
        </w:rPr>
        <w:t>6</w:t>
      </w:r>
      <w:r w:rsidRPr="0044342F">
        <w:rPr>
          <w:rFonts w:ascii="Times New Roman" w:hAnsi="Times New Roman" w:cs="Times New Roman"/>
          <w:sz w:val="24"/>
          <w:szCs w:val="24"/>
        </w:rPr>
        <w:t xml:space="preserve"> пациентов</w:t>
      </w:r>
      <w:r w:rsidR="00E11A8E" w:rsidRPr="0044342F">
        <w:rPr>
          <w:rFonts w:ascii="Times New Roman" w:hAnsi="Times New Roman" w:cs="Times New Roman"/>
          <w:sz w:val="24"/>
          <w:szCs w:val="24"/>
        </w:rPr>
        <w:t xml:space="preserve"> (20%)</w:t>
      </w:r>
      <w:r w:rsidRPr="0044342F">
        <w:rPr>
          <w:rFonts w:ascii="Times New Roman" w:hAnsi="Times New Roman" w:cs="Times New Roman"/>
          <w:sz w:val="24"/>
          <w:szCs w:val="24"/>
        </w:rPr>
        <w:t xml:space="preserve"> во второй группе, труднос</w:t>
      </w:r>
      <w:r w:rsidR="001C4E7D" w:rsidRPr="0044342F">
        <w:rPr>
          <w:rFonts w:ascii="Times New Roman" w:hAnsi="Times New Roman" w:cs="Times New Roman"/>
          <w:sz w:val="24"/>
          <w:szCs w:val="24"/>
        </w:rPr>
        <w:t xml:space="preserve">ть глотания не отмечали у себя </w:t>
      </w:r>
      <w:r w:rsidR="00EF442A" w:rsidRPr="0044342F">
        <w:rPr>
          <w:rFonts w:ascii="Times New Roman" w:hAnsi="Times New Roman" w:cs="Times New Roman"/>
          <w:sz w:val="24"/>
          <w:szCs w:val="24"/>
        </w:rPr>
        <w:t xml:space="preserve">3 </w:t>
      </w:r>
      <w:r w:rsidRPr="0044342F">
        <w:rPr>
          <w:rFonts w:ascii="Times New Roman" w:hAnsi="Times New Roman" w:cs="Times New Roman"/>
          <w:sz w:val="24"/>
          <w:szCs w:val="24"/>
        </w:rPr>
        <w:t>пациент</w:t>
      </w:r>
      <w:r w:rsidR="00EF442A" w:rsidRPr="0044342F">
        <w:rPr>
          <w:rFonts w:ascii="Times New Roman" w:hAnsi="Times New Roman" w:cs="Times New Roman"/>
          <w:sz w:val="24"/>
          <w:szCs w:val="24"/>
        </w:rPr>
        <w:t>а (10%)</w:t>
      </w:r>
      <w:r w:rsidRPr="0044342F">
        <w:rPr>
          <w:rFonts w:ascii="Times New Roman" w:hAnsi="Times New Roman" w:cs="Times New Roman"/>
          <w:sz w:val="24"/>
          <w:szCs w:val="24"/>
        </w:rPr>
        <w:t xml:space="preserve"> в первой группе и </w:t>
      </w:r>
      <w:r w:rsidR="00EF442A" w:rsidRPr="0044342F">
        <w:rPr>
          <w:rFonts w:ascii="Times New Roman" w:hAnsi="Times New Roman" w:cs="Times New Roman"/>
          <w:sz w:val="24"/>
          <w:szCs w:val="24"/>
        </w:rPr>
        <w:t>4 (</w:t>
      </w:r>
      <w:r w:rsidRPr="0044342F">
        <w:rPr>
          <w:rFonts w:ascii="Times New Roman" w:hAnsi="Times New Roman" w:cs="Times New Roman"/>
          <w:sz w:val="24"/>
          <w:szCs w:val="24"/>
        </w:rPr>
        <w:t>13,3%</w:t>
      </w:r>
      <w:r w:rsidR="00EF442A" w:rsidRPr="0044342F">
        <w:rPr>
          <w:rFonts w:ascii="Times New Roman" w:hAnsi="Times New Roman" w:cs="Times New Roman"/>
          <w:sz w:val="24"/>
          <w:szCs w:val="24"/>
        </w:rPr>
        <w:t>)</w:t>
      </w:r>
      <w:r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931398" w:rsidRPr="0044342F">
        <w:rPr>
          <w:rFonts w:ascii="Times New Roman" w:hAnsi="Times New Roman" w:cs="Times New Roman"/>
          <w:sz w:val="24"/>
          <w:szCs w:val="24"/>
        </w:rPr>
        <w:t xml:space="preserve">– </w:t>
      </w:r>
      <w:r w:rsidRPr="0044342F">
        <w:rPr>
          <w:rFonts w:ascii="Times New Roman" w:hAnsi="Times New Roman" w:cs="Times New Roman"/>
          <w:sz w:val="24"/>
          <w:szCs w:val="24"/>
        </w:rPr>
        <w:t xml:space="preserve">во второй, отечности горла не ощущали </w:t>
      </w:r>
      <w:r w:rsidR="00931398" w:rsidRPr="0044342F">
        <w:rPr>
          <w:rFonts w:ascii="Times New Roman" w:hAnsi="Times New Roman" w:cs="Times New Roman"/>
          <w:sz w:val="24"/>
          <w:szCs w:val="24"/>
        </w:rPr>
        <w:t>по 5</w:t>
      </w:r>
      <w:r w:rsidRPr="0044342F">
        <w:rPr>
          <w:rFonts w:ascii="Times New Roman" w:hAnsi="Times New Roman" w:cs="Times New Roman"/>
          <w:sz w:val="24"/>
          <w:szCs w:val="24"/>
        </w:rPr>
        <w:t xml:space="preserve"> пациентов</w:t>
      </w:r>
      <w:r w:rsidR="00931398" w:rsidRPr="0044342F">
        <w:rPr>
          <w:rFonts w:ascii="Times New Roman" w:hAnsi="Times New Roman" w:cs="Times New Roman"/>
          <w:sz w:val="24"/>
          <w:szCs w:val="24"/>
        </w:rPr>
        <w:t xml:space="preserve"> (16,7%)</w:t>
      </w:r>
      <w:r w:rsidRPr="0044342F">
        <w:rPr>
          <w:rFonts w:ascii="Times New Roman" w:hAnsi="Times New Roman" w:cs="Times New Roman"/>
          <w:sz w:val="24"/>
          <w:szCs w:val="24"/>
        </w:rPr>
        <w:t xml:space="preserve"> в обеих группах. Нормализация температуры тела к 3-ему дню лечения </w:t>
      </w:r>
      <w:r w:rsidRPr="0044342F">
        <w:rPr>
          <w:rFonts w:ascii="Times New Roman" w:hAnsi="Times New Roman" w:cs="Times New Roman"/>
          <w:sz w:val="24"/>
          <w:szCs w:val="24"/>
        </w:rPr>
        <w:lastRenderedPageBreak/>
        <w:t xml:space="preserve">наблюдалась у большего количества пациентов </w:t>
      </w:r>
      <w:r w:rsidR="009D5883">
        <w:rPr>
          <w:rFonts w:ascii="Times New Roman" w:hAnsi="Times New Roman" w:cs="Times New Roman"/>
          <w:sz w:val="24"/>
          <w:szCs w:val="24"/>
        </w:rPr>
        <w:t>в группе 1</w:t>
      </w:r>
      <w:r w:rsidRPr="0044342F">
        <w:rPr>
          <w:rFonts w:ascii="Times New Roman" w:hAnsi="Times New Roman" w:cs="Times New Roman"/>
          <w:sz w:val="24"/>
          <w:szCs w:val="24"/>
        </w:rPr>
        <w:t xml:space="preserve"> (</w:t>
      </w:r>
      <w:r w:rsidR="004B0E16" w:rsidRPr="0044342F">
        <w:rPr>
          <w:rFonts w:ascii="Times New Roman" w:hAnsi="Times New Roman" w:cs="Times New Roman"/>
          <w:sz w:val="24"/>
          <w:szCs w:val="24"/>
        </w:rPr>
        <w:t xml:space="preserve">11 пациентов, </w:t>
      </w:r>
      <w:r w:rsidRPr="0044342F">
        <w:rPr>
          <w:rFonts w:ascii="Times New Roman" w:hAnsi="Times New Roman" w:cs="Times New Roman"/>
          <w:sz w:val="24"/>
          <w:szCs w:val="24"/>
        </w:rPr>
        <w:t>3</w:t>
      </w:r>
      <w:r w:rsidR="009E5B9A" w:rsidRPr="0044342F">
        <w:rPr>
          <w:rFonts w:ascii="Times New Roman" w:hAnsi="Times New Roman" w:cs="Times New Roman"/>
          <w:sz w:val="24"/>
          <w:szCs w:val="24"/>
        </w:rPr>
        <w:t>6</w:t>
      </w:r>
      <w:r w:rsidRPr="0044342F">
        <w:rPr>
          <w:rFonts w:ascii="Times New Roman" w:hAnsi="Times New Roman" w:cs="Times New Roman"/>
          <w:sz w:val="24"/>
          <w:szCs w:val="24"/>
        </w:rPr>
        <w:t>,</w:t>
      </w:r>
      <w:r w:rsidR="009E5B9A" w:rsidRPr="0044342F">
        <w:rPr>
          <w:rFonts w:ascii="Times New Roman" w:hAnsi="Times New Roman" w:cs="Times New Roman"/>
          <w:sz w:val="24"/>
          <w:szCs w:val="24"/>
        </w:rPr>
        <w:t>6</w:t>
      </w:r>
      <w:r w:rsidRPr="0044342F">
        <w:rPr>
          <w:rFonts w:ascii="Times New Roman" w:hAnsi="Times New Roman" w:cs="Times New Roman"/>
          <w:sz w:val="24"/>
          <w:szCs w:val="24"/>
        </w:rPr>
        <w:t xml:space="preserve">%), чем во </w:t>
      </w:r>
      <w:r w:rsidR="00BD32BF">
        <w:rPr>
          <w:rFonts w:ascii="Times New Roman" w:hAnsi="Times New Roman" w:cs="Times New Roman"/>
          <w:sz w:val="24"/>
          <w:szCs w:val="24"/>
        </w:rPr>
        <w:t>группе 2</w:t>
      </w:r>
      <w:r w:rsidRPr="0044342F">
        <w:rPr>
          <w:rFonts w:ascii="Times New Roman" w:hAnsi="Times New Roman" w:cs="Times New Roman"/>
          <w:sz w:val="24"/>
          <w:szCs w:val="24"/>
        </w:rPr>
        <w:t xml:space="preserve"> (</w:t>
      </w:r>
      <w:r w:rsidR="004B0E16" w:rsidRPr="0044342F">
        <w:rPr>
          <w:rFonts w:ascii="Times New Roman" w:hAnsi="Times New Roman" w:cs="Times New Roman"/>
          <w:sz w:val="24"/>
          <w:szCs w:val="24"/>
        </w:rPr>
        <w:t xml:space="preserve">9 пациентов, </w:t>
      </w:r>
      <w:r w:rsidRPr="0044342F">
        <w:rPr>
          <w:rFonts w:ascii="Times New Roman" w:hAnsi="Times New Roman" w:cs="Times New Roman"/>
          <w:sz w:val="24"/>
          <w:szCs w:val="24"/>
        </w:rPr>
        <w:t>30%)</w:t>
      </w:r>
      <w:r w:rsidR="004B0E16" w:rsidRPr="0044342F">
        <w:rPr>
          <w:rFonts w:ascii="Times New Roman" w:hAnsi="Times New Roman" w:cs="Times New Roman"/>
          <w:sz w:val="24"/>
          <w:szCs w:val="24"/>
        </w:rPr>
        <w:t>. По всем четырем показателям различия между</w:t>
      </w:r>
      <w:r w:rsidR="007374B8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4B0E16" w:rsidRPr="0044342F">
        <w:rPr>
          <w:rFonts w:ascii="Times New Roman" w:hAnsi="Times New Roman" w:cs="Times New Roman"/>
          <w:sz w:val="24"/>
          <w:szCs w:val="24"/>
        </w:rPr>
        <w:t>группами оказались статистически не значимы</w:t>
      </w:r>
      <w:r w:rsidR="00C601B3" w:rsidRPr="0044342F">
        <w:rPr>
          <w:rFonts w:ascii="Times New Roman" w:hAnsi="Times New Roman" w:cs="Times New Roman"/>
          <w:sz w:val="24"/>
          <w:szCs w:val="24"/>
        </w:rPr>
        <w:t xml:space="preserve"> (</w:t>
      </w:r>
      <w:r w:rsidR="0054026A" w:rsidRPr="0044342F">
        <w:rPr>
          <w:rFonts w:ascii="Times New Roman" w:hAnsi="Times New Roman" w:cs="Times New Roman"/>
          <w:sz w:val="24"/>
          <w:szCs w:val="24"/>
        </w:rPr>
        <w:t xml:space="preserve">точный тест Фишера; </w:t>
      </w:r>
      <w:r w:rsidR="00C601B3" w:rsidRPr="0044342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4026A" w:rsidRPr="0044342F">
        <w:rPr>
          <w:rFonts w:ascii="Times New Roman" w:hAnsi="Times New Roman" w:cs="Times New Roman"/>
          <w:sz w:val="24"/>
          <w:szCs w:val="24"/>
        </w:rPr>
        <w:t>=</w:t>
      </w:r>
      <w:r w:rsidR="00F358C8" w:rsidRPr="0044342F">
        <w:rPr>
          <w:rFonts w:ascii="Times New Roman" w:hAnsi="Times New Roman" w:cs="Times New Roman"/>
          <w:sz w:val="24"/>
          <w:szCs w:val="24"/>
        </w:rPr>
        <w:t>0,47</w:t>
      </w:r>
      <w:r w:rsidR="000115E9" w:rsidRPr="0044342F">
        <w:rPr>
          <w:rFonts w:ascii="Times New Roman" w:hAnsi="Times New Roman" w:cs="Times New Roman"/>
          <w:sz w:val="24"/>
          <w:szCs w:val="24"/>
        </w:rPr>
        <w:t>;</w:t>
      </w:r>
      <w:r w:rsidR="00F358C8" w:rsidRPr="0044342F">
        <w:rPr>
          <w:rFonts w:ascii="Times New Roman" w:hAnsi="Times New Roman" w:cs="Times New Roman"/>
          <w:sz w:val="24"/>
          <w:szCs w:val="24"/>
        </w:rPr>
        <w:t xml:space="preserve"> р=</w:t>
      </w:r>
      <w:r w:rsidR="000115E9" w:rsidRPr="0044342F">
        <w:rPr>
          <w:rFonts w:ascii="Times New Roman" w:hAnsi="Times New Roman" w:cs="Times New Roman"/>
          <w:sz w:val="24"/>
          <w:szCs w:val="24"/>
        </w:rPr>
        <w:t xml:space="preserve">1,0; </w:t>
      </w:r>
      <w:r w:rsidR="007374B8" w:rsidRPr="0044342F">
        <w:rPr>
          <w:rFonts w:ascii="Times New Roman" w:hAnsi="Times New Roman" w:cs="Times New Roman"/>
          <w:sz w:val="24"/>
          <w:szCs w:val="24"/>
        </w:rPr>
        <w:t>р=1,0; р=0,78 соответственно</w:t>
      </w:r>
      <w:r w:rsidR="00C601B3" w:rsidRPr="0044342F">
        <w:rPr>
          <w:rFonts w:ascii="Times New Roman" w:hAnsi="Times New Roman" w:cs="Times New Roman"/>
          <w:sz w:val="24"/>
          <w:szCs w:val="24"/>
        </w:rPr>
        <w:t>).</w:t>
      </w:r>
    </w:p>
    <w:p w14:paraId="3D64208B" w14:textId="3C7F1D5C" w:rsidR="00C601B3" w:rsidRPr="0044342F" w:rsidRDefault="00555F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Сопоставимость групп сравнения по клинической эффективности была подтверждена при анализе </w:t>
      </w:r>
      <w:r w:rsidR="001926FB">
        <w:rPr>
          <w:rFonts w:ascii="Times New Roman" w:hAnsi="Times New Roman" w:cs="Times New Roman"/>
          <w:sz w:val="24"/>
          <w:szCs w:val="24"/>
        </w:rPr>
        <w:t>полученных данных</w:t>
      </w:r>
      <w:r w:rsidR="00A737B9">
        <w:rPr>
          <w:rFonts w:ascii="Times New Roman" w:hAnsi="Times New Roman" w:cs="Times New Roman"/>
          <w:sz w:val="24"/>
          <w:szCs w:val="24"/>
        </w:rPr>
        <w:t xml:space="preserve"> по окончанию проводимой терапии</w:t>
      </w:r>
      <w:r w:rsidR="001926FB">
        <w:rPr>
          <w:rFonts w:ascii="Times New Roman" w:hAnsi="Times New Roman" w:cs="Times New Roman"/>
          <w:sz w:val="24"/>
          <w:szCs w:val="24"/>
        </w:rPr>
        <w:t xml:space="preserve">. </w:t>
      </w:r>
      <w:r w:rsidR="00C601B3" w:rsidRPr="0044342F">
        <w:rPr>
          <w:rFonts w:ascii="Times New Roman" w:hAnsi="Times New Roman" w:cs="Times New Roman"/>
          <w:sz w:val="24"/>
          <w:szCs w:val="24"/>
        </w:rPr>
        <w:t xml:space="preserve">По шкале </w:t>
      </w:r>
      <w:r w:rsidR="00BD32BF" w:rsidRPr="00BD32BF">
        <w:rPr>
          <w:rFonts w:ascii="Times New Roman" w:hAnsi="Times New Roman" w:cs="Times New Roman"/>
          <w:sz w:val="24"/>
          <w:szCs w:val="24"/>
        </w:rPr>
        <w:t xml:space="preserve">общего клинического впечатления проводимой терапии </w:t>
      </w:r>
      <w:r w:rsidR="00BD32BF">
        <w:rPr>
          <w:rFonts w:ascii="Times New Roman" w:hAnsi="Times New Roman" w:cs="Times New Roman"/>
          <w:sz w:val="24"/>
          <w:szCs w:val="24"/>
        </w:rPr>
        <w:t>CGI-I</w:t>
      </w:r>
      <w:r w:rsidR="00C601B3" w:rsidRPr="0044342F">
        <w:rPr>
          <w:rFonts w:ascii="Times New Roman" w:hAnsi="Times New Roman" w:cs="Times New Roman"/>
          <w:sz w:val="24"/>
          <w:szCs w:val="24"/>
        </w:rPr>
        <w:t xml:space="preserve"> на 10</w:t>
      </w:r>
      <w:r w:rsidR="00A737B9">
        <w:rPr>
          <w:rFonts w:ascii="Times New Roman" w:hAnsi="Times New Roman" w:cs="Times New Roman"/>
          <w:sz w:val="24"/>
          <w:szCs w:val="24"/>
        </w:rPr>
        <w:t>-ый</w:t>
      </w:r>
      <w:r w:rsidR="00C601B3" w:rsidRPr="0044342F">
        <w:rPr>
          <w:rFonts w:ascii="Times New Roman" w:hAnsi="Times New Roman" w:cs="Times New Roman"/>
          <w:sz w:val="24"/>
          <w:szCs w:val="24"/>
        </w:rPr>
        <w:t xml:space="preserve"> день лечения </w:t>
      </w:r>
      <w:r w:rsidR="00BD32BF">
        <w:rPr>
          <w:rFonts w:ascii="Times New Roman" w:hAnsi="Times New Roman" w:cs="Times New Roman"/>
          <w:sz w:val="24"/>
          <w:szCs w:val="24"/>
        </w:rPr>
        <w:t xml:space="preserve">(Визит 3) </w:t>
      </w:r>
      <w:r w:rsidR="0010244B" w:rsidRPr="0044342F">
        <w:rPr>
          <w:rFonts w:ascii="Times New Roman" w:hAnsi="Times New Roman" w:cs="Times New Roman"/>
          <w:sz w:val="24"/>
          <w:szCs w:val="24"/>
        </w:rPr>
        <w:t xml:space="preserve">26 </w:t>
      </w:r>
      <w:r w:rsidR="00C601B3" w:rsidRPr="0044342F">
        <w:rPr>
          <w:rFonts w:ascii="Times New Roman" w:hAnsi="Times New Roman" w:cs="Times New Roman"/>
          <w:sz w:val="24"/>
          <w:szCs w:val="24"/>
        </w:rPr>
        <w:t>пациентов</w:t>
      </w:r>
      <w:r w:rsidR="0010244B" w:rsidRPr="0044342F">
        <w:rPr>
          <w:rFonts w:ascii="Times New Roman" w:hAnsi="Times New Roman" w:cs="Times New Roman"/>
          <w:sz w:val="24"/>
          <w:szCs w:val="24"/>
        </w:rPr>
        <w:t xml:space="preserve"> (86,7%)</w:t>
      </w:r>
      <w:r w:rsidR="00C601B3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BD32BF">
        <w:rPr>
          <w:rFonts w:ascii="Times New Roman" w:hAnsi="Times New Roman" w:cs="Times New Roman"/>
          <w:sz w:val="24"/>
          <w:szCs w:val="24"/>
        </w:rPr>
        <w:t>в группе 1</w:t>
      </w:r>
      <w:r w:rsidR="00C601B3" w:rsidRPr="0044342F">
        <w:rPr>
          <w:rFonts w:ascii="Times New Roman" w:hAnsi="Times New Roman" w:cs="Times New Roman"/>
          <w:sz w:val="24"/>
          <w:szCs w:val="24"/>
        </w:rPr>
        <w:t xml:space="preserve"> о</w:t>
      </w:r>
      <w:r w:rsidR="00BD32BF">
        <w:rPr>
          <w:rFonts w:ascii="Times New Roman" w:hAnsi="Times New Roman" w:cs="Times New Roman"/>
          <w:sz w:val="24"/>
          <w:szCs w:val="24"/>
        </w:rPr>
        <w:t>тметили очень сильное улучшение</w:t>
      </w:r>
      <w:r w:rsidR="00C601B3" w:rsidRPr="0044342F">
        <w:rPr>
          <w:rFonts w:ascii="Times New Roman" w:hAnsi="Times New Roman" w:cs="Times New Roman"/>
          <w:sz w:val="24"/>
          <w:szCs w:val="24"/>
        </w:rPr>
        <w:t xml:space="preserve"> против </w:t>
      </w:r>
      <w:r w:rsidR="003D4A4D" w:rsidRPr="0044342F">
        <w:rPr>
          <w:rFonts w:ascii="Times New Roman" w:hAnsi="Times New Roman" w:cs="Times New Roman"/>
          <w:sz w:val="24"/>
          <w:szCs w:val="24"/>
        </w:rPr>
        <w:t>27 (90,0%)</w:t>
      </w:r>
      <w:r w:rsidR="00C601B3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BD32BF">
        <w:rPr>
          <w:rFonts w:ascii="Times New Roman" w:hAnsi="Times New Roman" w:cs="Times New Roman"/>
          <w:sz w:val="24"/>
          <w:szCs w:val="24"/>
        </w:rPr>
        <w:t>в группе 2</w:t>
      </w:r>
      <w:r w:rsidR="00C601B3" w:rsidRPr="0044342F">
        <w:rPr>
          <w:rFonts w:ascii="Times New Roman" w:hAnsi="Times New Roman" w:cs="Times New Roman"/>
          <w:sz w:val="24"/>
          <w:szCs w:val="24"/>
        </w:rPr>
        <w:t>, однако различие не было статистически значимым (</w:t>
      </w:r>
      <w:r w:rsidR="003375CE" w:rsidRPr="0044342F">
        <w:rPr>
          <w:rFonts w:ascii="Times New Roman" w:hAnsi="Times New Roman" w:cs="Times New Roman"/>
          <w:sz w:val="24"/>
          <w:szCs w:val="24"/>
        </w:rPr>
        <w:t xml:space="preserve">точный тест Фишера, </w:t>
      </w:r>
      <w:r w:rsidR="00C601B3" w:rsidRPr="0044342F">
        <w:rPr>
          <w:rFonts w:ascii="Times New Roman" w:hAnsi="Times New Roman" w:cs="Times New Roman"/>
          <w:sz w:val="24"/>
          <w:szCs w:val="24"/>
        </w:rPr>
        <w:t>p</w:t>
      </w:r>
      <w:r w:rsidR="003375CE" w:rsidRPr="0044342F">
        <w:rPr>
          <w:rFonts w:ascii="Times New Roman" w:hAnsi="Times New Roman" w:cs="Times New Roman"/>
          <w:sz w:val="24"/>
          <w:szCs w:val="24"/>
        </w:rPr>
        <w:t>=</w:t>
      </w:r>
      <w:r w:rsidR="003D4A4D" w:rsidRPr="0044342F">
        <w:rPr>
          <w:rFonts w:ascii="Times New Roman" w:hAnsi="Times New Roman" w:cs="Times New Roman"/>
          <w:sz w:val="24"/>
          <w:szCs w:val="24"/>
        </w:rPr>
        <w:t>0,72</w:t>
      </w:r>
      <w:r w:rsidR="00C601B3" w:rsidRPr="0044342F">
        <w:rPr>
          <w:rFonts w:ascii="Times New Roman" w:hAnsi="Times New Roman" w:cs="Times New Roman"/>
          <w:sz w:val="24"/>
          <w:szCs w:val="24"/>
        </w:rPr>
        <w:t xml:space="preserve">). </w:t>
      </w:r>
      <w:r w:rsidR="00D42B04" w:rsidRPr="0044342F">
        <w:rPr>
          <w:rFonts w:ascii="Times New Roman" w:hAnsi="Times New Roman" w:cs="Times New Roman"/>
          <w:sz w:val="24"/>
          <w:szCs w:val="24"/>
        </w:rPr>
        <w:t xml:space="preserve">Все остальные пациенты в группах отметили сильное улучшение. </w:t>
      </w:r>
      <w:r w:rsidR="00BD32BF">
        <w:rPr>
          <w:rFonts w:ascii="Times New Roman" w:hAnsi="Times New Roman" w:cs="Times New Roman"/>
          <w:sz w:val="24"/>
          <w:szCs w:val="24"/>
        </w:rPr>
        <w:t>Боль</w:t>
      </w:r>
      <w:r w:rsidR="00C601B3" w:rsidRPr="0044342F">
        <w:rPr>
          <w:rFonts w:ascii="Times New Roman" w:hAnsi="Times New Roman" w:cs="Times New Roman"/>
          <w:sz w:val="24"/>
          <w:szCs w:val="24"/>
        </w:rPr>
        <w:t xml:space="preserve"> в горле отсутствовала у </w:t>
      </w:r>
      <w:r w:rsidR="00F679C4" w:rsidRPr="0044342F">
        <w:rPr>
          <w:rFonts w:ascii="Times New Roman" w:hAnsi="Times New Roman" w:cs="Times New Roman"/>
          <w:sz w:val="24"/>
          <w:szCs w:val="24"/>
        </w:rPr>
        <w:t>29</w:t>
      </w:r>
      <w:r w:rsidR="00C601B3" w:rsidRPr="0044342F">
        <w:rPr>
          <w:rFonts w:ascii="Times New Roman" w:hAnsi="Times New Roman" w:cs="Times New Roman"/>
          <w:sz w:val="24"/>
          <w:szCs w:val="24"/>
        </w:rPr>
        <w:t xml:space="preserve"> пациентов</w:t>
      </w:r>
      <w:r w:rsidR="00806DBE" w:rsidRPr="0044342F">
        <w:rPr>
          <w:rFonts w:ascii="Times New Roman" w:hAnsi="Times New Roman" w:cs="Times New Roman"/>
          <w:sz w:val="24"/>
          <w:szCs w:val="24"/>
        </w:rPr>
        <w:t xml:space="preserve"> (96,7%)</w:t>
      </w:r>
      <w:r w:rsidR="00C601B3" w:rsidRPr="0044342F">
        <w:rPr>
          <w:rFonts w:ascii="Times New Roman" w:hAnsi="Times New Roman" w:cs="Times New Roman"/>
          <w:sz w:val="24"/>
          <w:szCs w:val="24"/>
        </w:rPr>
        <w:t xml:space="preserve"> в первой группе и у </w:t>
      </w:r>
      <w:r w:rsidR="00806DBE" w:rsidRPr="0044342F">
        <w:rPr>
          <w:rFonts w:ascii="Times New Roman" w:hAnsi="Times New Roman" w:cs="Times New Roman"/>
          <w:sz w:val="24"/>
          <w:szCs w:val="24"/>
        </w:rPr>
        <w:t xml:space="preserve">30 </w:t>
      </w:r>
      <w:r w:rsidR="00C601B3" w:rsidRPr="0044342F">
        <w:rPr>
          <w:rFonts w:ascii="Times New Roman" w:hAnsi="Times New Roman" w:cs="Times New Roman"/>
          <w:sz w:val="24"/>
          <w:szCs w:val="24"/>
        </w:rPr>
        <w:t>пациентов</w:t>
      </w:r>
      <w:r w:rsidR="00806DBE" w:rsidRPr="0044342F">
        <w:rPr>
          <w:rFonts w:ascii="Times New Roman" w:hAnsi="Times New Roman" w:cs="Times New Roman"/>
          <w:sz w:val="24"/>
          <w:szCs w:val="24"/>
        </w:rPr>
        <w:t xml:space="preserve"> (100%)</w:t>
      </w:r>
      <w:r w:rsidR="00C601B3" w:rsidRPr="0044342F">
        <w:rPr>
          <w:rFonts w:ascii="Times New Roman" w:hAnsi="Times New Roman" w:cs="Times New Roman"/>
          <w:sz w:val="24"/>
          <w:szCs w:val="24"/>
        </w:rPr>
        <w:t xml:space="preserve"> во второй группе</w:t>
      </w:r>
      <w:r w:rsidR="00806DBE" w:rsidRPr="0044342F">
        <w:rPr>
          <w:rFonts w:ascii="Times New Roman" w:hAnsi="Times New Roman" w:cs="Times New Roman"/>
          <w:sz w:val="24"/>
          <w:szCs w:val="24"/>
        </w:rPr>
        <w:t xml:space="preserve"> (точный тест Фишера, p=</w:t>
      </w:r>
      <w:r w:rsidR="000F4433" w:rsidRPr="0044342F">
        <w:rPr>
          <w:rFonts w:ascii="Times New Roman" w:hAnsi="Times New Roman" w:cs="Times New Roman"/>
          <w:sz w:val="24"/>
          <w:szCs w:val="24"/>
        </w:rPr>
        <w:t>1,0</w:t>
      </w:r>
      <w:r w:rsidR="00806DBE" w:rsidRPr="0044342F">
        <w:rPr>
          <w:rFonts w:ascii="Times New Roman" w:hAnsi="Times New Roman" w:cs="Times New Roman"/>
          <w:sz w:val="24"/>
          <w:szCs w:val="24"/>
        </w:rPr>
        <w:t>)</w:t>
      </w:r>
      <w:r w:rsidR="00C601B3" w:rsidRPr="0044342F">
        <w:rPr>
          <w:rFonts w:ascii="Times New Roman" w:hAnsi="Times New Roman" w:cs="Times New Roman"/>
          <w:sz w:val="24"/>
          <w:szCs w:val="24"/>
        </w:rPr>
        <w:t>, трудност</w:t>
      </w:r>
      <w:r w:rsidR="00E7568F" w:rsidRPr="0044342F">
        <w:rPr>
          <w:rFonts w:ascii="Times New Roman" w:hAnsi="Times New Roman" w:cs="Times New Roman"/>
          <w:sz w:val="24"/>
          <w:szCs w:val="24"/>
        </w:rPr>
        <w:t>и</w:t>
      </w:r>
      <w:r w:rsidR="00C601B3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600D1D" w:rsidRPr="0044342F">
        <w:rPr>
          <w:rFonts w:ascii="Times New Roman" w:hAnsi="Times New Roman" w:cs="Times New Roman"/>
          <w:sz w:val="24"/>
          <w:szCs w:val="24"/>
        </w:rPr>
        <w:t xml:space="preserve">при </w:t>
      </w:r>
      <w:r w:rsidR="00C601B3" w:rsidRPr="0044342F">
        <w:rPr>
          <w:rFonts w:ascii="Times New Roman" w:hAnsi="Times New Roman" w:cs="Times New Roman"/>
          <w:sz w:val="24"/>
          <w:szCs w:val="24"/>
        </w:rPr>
        <w:t>глотани</w:t>
      </w:r>
      <w:r w:rsidR="00600D1D" w:rsidRPr="0044342F">
        <w:rPr>
          <w:rFonts w:ascii="Times New Roman" w:hAnsi="Times New Roman" w:cs="Times New Roman"/>
          <w:sz w:val="24"/>
          <w:szCs w:val="24"/>
        </w:rPr>
        <w:t>и и отечности горла</w:t>
      </w:r>
      <w:r w:rsidR="00C601B3" w:rsidRPr="0044342F">
        <w:rPr>
          <w:rFonts w:ascii="Times New Roman" w:hAnsi="Times New Roman" w:cs="Times New Roman"/>
          <w:sz w:val="24"/>
          <w:szCs w:val="24"/>
        </w:rPr>
        <w:t xml:space="preserve"> не отмечали у себя </w:t>
      </w:r>
      <w:r w:rsidR="00E7568F" w:rsidRPr="0044342F">
        <w:rPr>
          <w:rFonts w:ascii="Times New Roman" w:hAnsi="Times New Roman" w:cs="Times New Roman"/>
          <w:sz w:val="24"/>
          <w:szCs w:val="24"/>
        </w:rPr>
        <w:t>все пациенты</w:t>
      </w:r>
      <w:r w:rsidR="00C601B3" w:rsidRPr="0044342F">
        <w:rPr>
          <w:rFonts w:ascii="Times New Roman" w:hAnsi="Times New Roman" w:cs="Times New Roman"/>
          <w:sz w:val="24"/>
          <w:szCs w:val="24"/>
        </w:rPr>
        <w:t xml:space="preserve"> в </w:t>
      </w:r>
      <w:r w:rsidR="00D42B04" w:rsidRPr="0044342F">
        <w:rPr>
          <w:rFonts w:ascii="Times New Roman" w:hAnsi="Times New Roman" w:cs="Times New Roman"/>
          <w:sz w:val="24"/>
          <w:szCs w:val="24"/>
        </w:rPr>
        <w:t>обеих группах</w:t>
      </w:r>
      <w:r w:rsidR="00C601B3" w:rsidRPr="0044342F">
        <w:rPr>
          <w:rFonts w:ascii="Times New Roman" w:hAnsi="Times New Roman" w:cs="Times New Roman"/>
          <w:sz w:val="24"/>
          <w:szCs w:val="24"/>
        </w:rPr>
        <w:t xml:space="preserve">. </w:t>
      </w:r>
      <w:r w:rsidR="000F4433" w:rsidRPr="0044342F">
        <w:rPr>
          <w:rFonts w:ascii="Times New Roman" w:hAnsi="Times New Roman" w:cs="Times New Roman"/>
          <w:sz w:val="24"/>
          <w:szCs w:val="24"/>
        </w:rPr>
        <w:t>Т</w:t>
      </w:r>
      <w:r w:rsidR="00C601B3" w:rsidRPr="0044342F">
        <w:rPr>
          <w:rFonts w:ascii="Times New Roman" w:hAnsi="Times New Roman" w:cs="Times New Roman"/>
          <w:sz w:val="24"/>
          <w:szCs w:val="24"/>
        </w:rPr>
        <w:t>емператур</w:t>
      </w:r>
      <w:r w:rsidR="000F4433" w:rsidRPr="0044342F">
        <w:rPr>
          <w:rFonts w:ascii="Times New Roman" w:hAnsi="Times New Roman" w:cs="Times New Roman"/>
          <w:sz w:val="24"/>
          <w:szCs w:val="24"/>
        </w:rPr>
        <w:t>а</w:t>
      </w:r>
      <w:r w:rsidR="00C601B3" w:rsidRPr="0044342F">
        <w:rPr>
          <w:rFonts w:ascii="Times New Roman" w:hAnsi="Times New Roman" w:cs="Times New Roman"/>
          <w:sz w:val="24"/>
          <w:szCs w:val="24"/>
        </w:rPr>
        <w:t xml:space="preserve"> тела к </w:t>
      </w:r>
      <w:r w:rsidR="00D42B04" w:rsidRPr="0044342F">
        <w:rPr>
          <w:rFonts w:ascii="Times New Roman" w:hAnsi="Times New Roman" w:cs="Times New Roman"/>
          <w:sz w:val="24"/>
          <w:szCs w:val="24"/>
        </w:rPr>
        <w:t>10</w:t>
      </w:r>
      <w:r w:rsidR="00C601B3" w:rsidRPr="0044342F">
        <w:rPr>
          <w:rFonts w:ascii="Times New Roman" w:hAnsi="Times New Roman" w:cs="Times New Roman"/>
          <w:sz w:val="24"/>
          <w:szCs w:val="24"/>
        </w:rPr>
        <w:t>-</w:t>
      </w:r>
      <w:r w:rsidR="00D42B04" w:rsidRPr="0044342F">
        <w:rPr>
          <w:rFonts w:ascii="Times New Roman" w:hAnsi="Times New Roman" w:cs="Times New Roman"/>
          <w:sz w:val="24"/>
          <w:szCs w:val="24"/>
        </w:rPr>
        <w:t>му</w:t>
      </w:r>
      <w:r w:rsidR="00C601B3" w:rsidRPr="0044342F">
        <w:rPr>
          <w:rFonts w:ascii="Times New Roman" w:hAnsi="Times New Roman" w:cs="Times New Roman"/>
          <w:sz w:val="24"/>
          <w:szCs w:val="24"/>
        </w:rPr>
        <w:t xml:space="preserve"> дню лечения </w:t>
      </w:r>
      <w:r w:rsidR="00D42B04" w:rsidRPr="0044342F">
        <w:rPr>
          <w:rFonts w:ascii="Times New Roman" w:hAnsi="Times New Roman" w:cs="Times New Roman"/>
          <w:sz w:val="24"/>
          <w:szCs w:val="24"/>
        </w:rPr>
        <w:t xml:space="preserve">нормализовалась у всех пациентов. </w:t>
      </w:r>
    </w:p>
    <w:p w14:paraId="7C152A85" w14:textId="606B9738" w:rsidR="00C601B3" w:rsidRDefault="000B0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42F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3D7D74" w:rsidRPr="0044342F">
        <w:rPr>
          <w:rFonts w:ascii="Times New Roman" w:hAnsi="Times New Roman" w:cs="Times New Roman"/>
          <w:sz w:val="24"/>
          <w:szCs w:val="24"/>
        </w:rPr>
        <w:t xml:space="preserve">болевого синдрома, чувства опухания горла, </w:t>
      </w:r>
      <w:r w:rsidR="00637069" w:rsidRPr="0044342F">
        <w:rPr>
          <w:rFonts w:ascii="Times New Roman" w:hAnsi="Times New Roman" w:cs="Times New Roman"/>
          <w:sz w:val="24"/>
          <w:szCs w:val="24"/>
        </w:rPr>
        <w:t>затруднения при глотании и температуры тела</w:t>
      </w:r>
      <w:r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5C3EE2" w:rsidRPr="0044342F">
        <w:rPr>
          <w:rFonts w:ascii="Times New Roman" w:hAnsi="Times New Roman" w:cs="Times New Roman"/>
          <w:sz w:val="24"/>
          <w:szCs w:val="24"/>
        </w:rPr>
        <w:t>за в</w:t>
      </w:r>
      <w:r w:rsidR="00F90E98" w:rsidRPr="0044342F">
        <w:rPr>
          <w:rFonts w:ascii="Times New Roman" w:hAnsi="Times New Roman" w:cs="Times New Roman"/>
          <w:sz w:val="24"/>
          <w:szCs w:val="24"/>
        </w:rPr>
        <w:t xml:space="preserve">се время лечения </w:t>
      </w:r>
      <w:r w:rsidRPr="0044342F">
        <w:rPr>
          <w:rFonts w:ascii="Times New Roman" w:hAnsi="Times New Roman" w:cs="Times New Roman"/>
          <w:sz w:val="24"/>
          <w:szCs w:val="24"/>
        </w:rPr>
        <w:t xml:space="preserve">по </w:t>
      </w:r>
      <w:r w:rsidR="00BA529D" w:rsidRPr="0044342F">
        <w:rPr>
          <w:rFonts w:ascii="Times New Roman" w:hAnsi="Times New Roman" w:cs="Times New Roman"/>
          <w:sz w:val="24"/>
          <w:szCs w:val="24"/>
        </w:rPr>
        <w:t>данным</w:t>
      </w:r>
      <w:r w:rsidR="00971506" w:rsidRPr="0044342F">
        <w:rPr>
          <w:rFonts w:ascii="Times New Roman" w:hAnsi="Times New Roman" w:cs="Times New Roman"/>
          <w:sz w:val="24"/>
          <w:szCs w:val="24"/>
        </w:rPr>
        <w:t xml:space="preserve"> дневников самонаблюдения представлена на рисунке </w:t>
      </w:r>
      <w:r w:rsidR="00817138">
        <w:rPr>
          <w:rFonts w:ascii="Times New Roman" w:hAnsi="Times New Roman" w:cs="Times New Roman"/>
          <w:sz w:val="24"/>
          <w:szCs w:val="24"/>
        </w:rPr>
        <w:t>2</w:t>
      </w:r>
      <w:r w:rsidR="00971506" w:rsidRPr="004434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D2390F" w14:textId="74BBF8C4" w:rsidR="00BD32BF" w:rsidRDefault="00BD32BF" w:rsidP="00BD32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2BF">
        <w:rPr>
          <w:rFonts w:ascii="Times New Roman" w:hAnsi="Times New Roman" w:cs="Times New Roman"/>
          <w:b/>
          <w:sz w:val="24"/>
          <w:szCs w:val="24"/>
        </w:rPr>
        <w:t>Рисунок 2</w:t>
      </w:r>
      <w:r>
        <w:rPr>
          <w:rFonts w:ascii="Times New Roman" w:hAnsi="Times New Roman" w:cs="Times New Roman"/>
          <w:b/>
          <w:sz w:val="24"/>
          <w:szCs w:val="24"/>
        </w:rPr>
        <w:t>. Динамика клинических симптомов</w:t>
      </w:r>
      <w:r w:rsidRPr="00BD32BF">
        <w:rPr>
          <w:rFonts w:ascii="Times New Roman" w:hAnsi="Times New Roman" w:cs="Times New Roman"/>
          <w:b/>
          <w:sz w:val="24"/>
          <w:szCs w:val="24"/>
        </w:rPr>
        <w:t xml:space="preserve"> ОТФ у пациентов по результатам заполнения дневников самонаблюдения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фоне терапии</w:t>
      </w:r>
    </w:p>
    <w:p w14:paraId="701B3BDA" w14:textId="77777777" w:rsidR="00BD32BF" w:rsidRDefault="00BD32BF" w:rsidP="00BD32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8B6A5A" w14:textId="23E3AAC6" w:rsidR="00667878" w:rsidRPr="0044342F" w:rsidRDefault="00930286" w:rsidP="00BD3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4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4C9C15" wp14:editId="142DFB17">
            <wp:extent cx="5352597" cy="4193392"/>
            <wp:effectExtent l="0" t="0" r="635" b="0"/>
            <wp:docPr id="1354383773" name="Picture 3" descr="A graph of different types of graph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383773" name="Picture 3" descr="A graph of different types of graphs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699" cy="41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05E59" w14:textId="77777777" w:rsidR="00182633" w:rsidRPr="0044342F" w:rsidRDefault="001826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C2E6FF" w14:textId="619C0238" w:rsidR="00AD691A" w:rsidRPr="0044342F" w:rsidRDefault="00AD6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44342F">
        <w:rPr>
          <w:rFonts w:ascii="Times New Roman" w:hAnsi="Times New Roman" w:cs="Times New Roman"/>
          <w:sz w:val="24"/>
          <w:szCs w:val="24"/>
        </w:rPr>
        <w:t xml:space="preserve">По результатам дисперсионного анализа (смешанная модель </w:t>
      </w:r>
      <w:r w:rsidRPr="0044342F">
        <w:rPr>
          <w:rFonts w:ascii="Times New Roman" w:hAnsi="Times New Roman" w:cs="Times New Roman"/>
          <w:sz w:val="24"/>
          <w:szCs w:val="24"/>
          <w:lang w:val="en-US"/>
        </w:rPr>
        <w:t>ANOVA</w:t>
      </w:r>
      <w:r w:rsidRPr="0044342F">
        <w:rPr>
          <w:rFonts w:ascii="Times New Roman" w:hAnsi="Times New Roman" w:cs="Times New Roman"/>
          <w:sz w:val="24"/>
          <w:szCs w:val="24"/>
        </w:rPr>
        <w:t>) оказалось, что день лечения (внутригрупповой фактор) значимо влиял на симптоматику (р&lt;0,001 по</w:t>
      </w:r>
      <w:r w:rsidR="0058702C" w:rsidRPr="0044342F">
        <w:rPr>
          <w:rFonts w:ascii="Times New Roman" w:hAnsi="Times New Roman" w:cs="Times New Roman"/>
          <w:sz w:val="24"/>
          <w:szCs w:val="24"/>
        </w:rPr>
        <w:t xml:space="preserve"> всем показателям</w:t>
      </w:r>
      <w:r w:rsidRPr="0044342F">
        <w:rPr>
          <w:rFonts w:ascii="Times New Roman" w:hAnsi="Times New Roman" w:cs="Times New Roman"/>
          <w:sz w:val="24"/>
          <w:szCs w:val="24"/>
        </w:rPr>
        <w:t>)</w:t>
      </w:r>
      <w:r w:rsidR="0058702C" w:rsidRPr="0044342F">
        <w:rPr>
          <w:rFonts w:ascii="Times New Roman" w:hAnsi="Times New Roman" w:cs="Times New Roman"/>
          <w:sz w:val="24"/>
          <w:szCs w:val="24"/>
        </w:rPr>
        <w:t xml:space="preserve">, а группа </w:t>
      </w:r>
      <w:r w:rsidR="00B525DA" w:rsidRPr="0044342F">
        <w:rPr>
          <w:rFonts w:ascii="Times New Roman" w:hAnsi="Times New Roman" w:cs="Times New Roman"/>
          <w:sz w:val="24"/>
          <w:szCs w:val="24"/>
        </w:rPr>
        <w:t>лечения (межгрупповой фактор) не влияла (</w:t>
      </w:r>
      <w:r w:rsidR="004E1162" w:rsidRPr="0044342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E1162" w:rsidRPr="0044342F">
        <w:rPr>
          <w:rFonts w:ascii="Times New Roman" w:hAnsi="Times New Roman" w:cs="Times New Roman"/>
          <w:sz w:val="24"/>
          <w:szCs w:val="24"/>
        </w:rPr>
        <w:t>=0,</w:t>
      </w:r>
      <w:r w:rsidR="00F90E98" w:rsidRPr="0044342F">
        <w:rPr>
          <w:rFonts w:ascii="Times New Roman" w:hAnsi="Times New Roman" w:cs="Times New Roman"/>
          <w:sz w:val="24"/>
          <w:szCs w:val="24"/>
        </w:rPr>
        <w:t>32</w:t>
      </w:r>
      <w:r w:rsidR="004E1162" w:rsidRPr="0044342F">
        <w:rPr>
          <w:rFonts w:ascii="Times New Roman" w:hAnsi="Times New Roman" w:cs="Times New Roman"/>
          <w:sz w:val="24"/>
          <w:szCs w:val="24"/>
        </w:rPr>
        <w:t>; р=</w:t>
      </w:r>
      <w:r w:rsidR="00321CC7" w:rsidRPr="0044342F">
        <w:rPr>
          <w:rFonts w:ascii="Times New Roman" w:hAnsi="Times New Roman" w:cs="Times New Roman"/>
          <w:sz w:val="24"/>
          <w:szCs w:val="24"/>
        </w:rPr>
        <w:t>0,6</w:t>
      </w:r>
      <w:r w:rsidR="004E1162" w:rsidRPr="0044342F">
        <w:rPr>
          <w:rFonts w:ascii="Times New Roman" w:hAnsi="Times New Roman" w:cs="Times New Roman"/>
          <w:sz w:val="24"/>
          <w:szCs w:val="24"/>
        </w:rPr>
        <w:t>; р=</w:t>
      </w:r>
      <w:r w:rsidR="00516289" w:rsidRPr="0044342F">
        <w:rPr>
          <w:rFonts w:ascii="Times New Roman" w:hAnsi="Times New Roman" w:cs="Times New Roman"/>
          <w:sz w:val="24"/>
          <w:szCs w:val="24"/>
        </w:rPr>
        <w:t>0,9</w:t>
      </w:r>
      <w:r w:rsidR="004E1162" w:rsidRPr="0044342F">
        <w:rPr>
          <w:rFonts w:ascii="Times New Roman" w:hAnsi="Times New Roman" w:cs="Times New Roman"/>
          <w:sz w:val="24"/>
          <w:szCs w:val="24"/>
        </w:rPr>
        <w:t>; р=0,</w:t>
      </w:r>
      <w:r w:rsidR="0093479D" w:rsidRPr="0044342F">
        <w:rPr>
          <w:rFonts w:ascii="Times New Roman" w:hAnsi="Times New Roman" w:cs="Times New Roman"/>
          <w:sz w:val="24"/>
          <w:szCs w:val="24"/>
        </w:rPr>
        <w:t>2</w:t>
      </w:r>
      <w:r w:rsidR="004E1162" w:rsidRPr="0044342F">
        <w:rPr>
          <w:rFonts w:ascii="Times New Roman" w:hAnsi="Times New Roman" w:cs="Times New Roman"/>
          <w:sz w:val="24"/>
          <w:szCs w:val="24"/>
        </w:rPr>
        <w:t xml:space="preserve"> соответственно). </w:t>
      </w:r>
      <w:r w:rsidR="0093479D" w:rsidRPr="0044342F">
        <w:rPr>
          <w:rFonts w:ascii="Times New Roman" w:hAnsi="Times New Roman" w:cs="Times New Roman"/>
          <w:sz w:val="24"/>
          <w:szCs w:val="24"/>
        </w:rPr>
        <w:t xml:space="preserve">Значимого взаимодействия между факторами также не было. </w:t>
      </w:r>
      <w:r w:rsidRPr="0044342F">
        <w:rPr>
          <w:rFonts w:ascii="Times New Roman" w:hAnsi="Times New Roman" w:cs="Times New Roman"/>
          <w:sz w:val="24"/>
          <w:szCs w:val="24"/>
        </w:rPr>
        <w:t>Таким образом, все пациенты в обеих группах отмечали положительную динамику симптомов на фоне системной антибактериальной терапии в течение 10 дней.</w:t>
      </w:r>
    </w:p>
    <w:p w14:paraId="0414E761" w14:textId="7C179BE6" w:rsidR="00803464" w:rsidRPr="0044342F" w:rsidRDefault="00004B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комплаентность</w:t>
      </w:r>
      <w:r w:rsidRPr="00004B1C">
        <w:rPr>
          <w:rFonts w:ascii="Times New Roman" w:hAnsi="Times New Roman" w:cs="Times New Roman"/>
          <w:sz w:val="24"/>
          <w:szCs w:val="24"/>
        </w:rPr>
        <w:t xml:space="preserve"> назначен</w:t>
      </w:r>
      <w:r>
        <w:rPr>
          <w:rFonts w:ascii="Times New Roman" w:hAnsi="Times New Roman" w:cs="Times New Roman"/>
          <w:sz w:val="24"/>
          <w:szCs w:val="24"/>
        </w:rPr>
        <w:t xml:space="preserve">ному режиму антибиотикотерапии – это не </w:t>
      </w:r>
      <w:r w:rsidRPr="00004B1C">
        <w:rPr>
          <w:rFonts w:ascii="Times New Roman" w:hAnsi="Times New Roman" w:cs="Times New Roman"/>
          <w:sz w:val="24"/>
          <w:szCs w:val="24"/>
        </w:rPr>
        <w:t>только залог высокой ее эффективн</w:t>
      </w:r>
      <w:r>
        <w:rPr>
          <w:rFonts w:ascii="Times New Roman" w:hAnsi="Times New Roman" w:cs="Times New Roman"/>
          <w:sz w:val="24"/>
          <w:szCs w:val="24"/>
        </w:rPr>
        <w:t>ости, но и важное условие сниже</w:t>
      </w:r>
      <w:r w:rsidRPr="00004B1C">
        <w:rPr>
          <w:rFonts w:ascii="Times New Roman" w:hAnsi="Times New Roman" w:cs="Times New Roman"/>
          <w:sz w:val="24"/>
          <w:szCs w:val="24"/>
        </w:rPr>
        <w:t xml:space="preserve">ния риска </w:t>
      </w:r>
      <w:r>
        <w:rPr>
          <w:rFonts w:ascii="Times New Roman" w:hAnsi="Times New Roman" w:cs="Times New Roman"/>
          <w:sz w:val="24"/>
          <w:szCs w:val="24"/>
        </w:rPr>
        <w:t>развития антибиотикорезистентности</w:t>
      </w:r>
      <w:r w:rsidRPr="00004B1C">
        <w:rPr>
          <w:rFonts w:ascii="Times New Roman" w:hAnsi="Times New Roman" w:cs="Times New Roman"/>
          <w:sz w:val="24"/>
          <w:szCs w:val="24"/>
        </w:rPr>
        <w:t xml:space="preserve"> [</w:t>
      </w:r>
      <w:r w:rsidR="00A737B9">
        <w:rPr>
          <w:rFonts w:ascii="Times New Roman" w:hAnsi="Times New Roman" w:cs="Times New Roman"/>
          <w:sz w:val="24"/>
          <w:szCs w:val="24"/>
        </w:rPr>
        <w:t>20</w:t>
      </w:r>
      <w:r w:rsidRPr="0044342F">
        <w:rPr>
          <w:rFonts w:ascii="Times New Roman" w:hAnsi="Times New Roman" w:cs="Times New Roman"/>
          <w:sz w:val="24"/>
          <w:szCs w:val="24"/>
        </w:rPr>
        <w:t xml:space="preserve">]. </w:t>
      </w:r>
      <w:r w:rsidR="00803464" w:rsidRPr="0044342F">
        <w:rPr>
          <w:rFonts w:ascii="Times New Roman" w:hAnsi="Times New Roman" w:cs="Times New Roman"/>
          <w:sz w:val="24"/>
          <w:szCs w:val="24"/>
        </w:rPr>
        <w:t xml:space="preserve">При </w:t>
      </w:r>
      <w:r w:rsidR="00A737B9">
        <w:rPr>
          <w:rFonts w:ascii="Times New Roman" w:hAnsi="Times New Roman" w:cs="Times New Roman"/>
          <w:sz w:val="24"/>
          <w:szCs w:val="24"/>
        </w:rPr>
        <w:t>анализе</w:t>
      </w:r>
      <w:r w:rsidR="00803464" w:rsidRPr="0044342F">
        <w:rPr>
          <w:rFonts w:ascii="Times New Roman" w:hAnsi="Times New Roman" w:cs="Times New Roman"/>
          <w:sz w:val="24"/>
          <w:szCs w:val="24"/>
        </w:rPr>
        <w:t xml:space="preserve"> приверженности проводимой тер</w:t>
      </w:r>
      <w:r w:rsidR="00253940">
        <w:rPr>
          <w:rFonts w:ascii="Times New Roman" w:hAnsi="Times New Roman" w:cs="Times New Roman"/>
          <w:sz w:val="24"/>
          <w:szCs w:val="24"/>
        </w:rPr>
        <w:t xml:space="preserve">апии по опроснику Мориски-Грин </w:t>
      </w:r>
      <w:r w:rsidR="00530906" w:rsidRPr="0044342F">
        <w:rPr>
          <w:rFonts w:ascii="Times New Roman" w:hAnsi="Times New Roman" w:cs="Times New Roman"/>
          <w:sz w:val="24"/>
          <w:szCs w:val="24"/>
        </w:rPr>
        <w:t xml:space="preserve">высокая приверженность к терапии наблюдалась </w:t>
      </w:r>
      <w:r w:rsidR="00870A11" w:rsidRPr="0044342F">
        <w:rPr>
          <w:rFonts w:ascii="Times New Roman" w:hAnsi="Times New Roman" w:cs="Times New Roman"/>
          <w:sz w:val="24"/>
          <w:szCs w:val="24"/>
        </w:rPr>
        <w:t>у 23 пациентов (</w:t>
      </w:r>
      <w:r w:rsidR="00530906" w:rsidRPr="0044342F">
        <w:rPr>
          <w:rFonts w:ascii="Times New Roman" w:hAnsi="Times New Roman" w:cs="Times New Roman"/>
          <w:sz w:val="24"/>
          <w:szCs w:val="24"/>
        </w:rPr>
        <w:t>76,7%</w:t>
      </w:r>
      <w:r w:rsidR="00870A11" w:rsidRPr="0044342F">
        <w:rPr>
          <w:rFonts w:ascii="Times New Roman" w:hAnsi="Times New Roman" w:cs="Times New Roman"/>
          <w:sz w:val="24"/>
          <w:szCs w:val="24"/>
        </w:rPr>
        <w:t>)</w:t>
      </w:r>
      <w:r w:rsidR="00530906" w:rsidRPr="0044342F">
        <w:rPr>
          <w:rFonts w:ascii="Times New Roman" w:hAnsi="Times New Roman" w:cs="Times New Roman"/>
          <w:sz w:val="24"/>
          <w:szCs w:val="24"/>
        </w:rPr>
        <w:t xml:space="preserve"> в группе</w:t>
      </w:r>
      <w:r w:rsidR="00D12C1E" w:rsidRPr="0044342F">
        <w:rPr>
          <w:rFonts w:ascii="Times New Roman" w:hAnsi="Times New Roman" w:cs="Times New Roman"/>
          <w:sz w:val="24"/>
          <w:szCs w:val="24"/>
        </w:rPr>
        <w:t xml:space="preserve"> 1</w:t>
      </w:r>
      <w:r w:rsidR="00530906" w:rsidRPr="0044342F">
        <w:rPr>
          <w:rFonts w:ascii="Times New Roman" w:hAnsi="Times New Roman" w:cs="Times New Roman"/>
          <w:sz w:val="24"/>
          <w:szCs w:val="24"/>
        </w:rPr>
        <w:t xml:space="preserve"> и</w:t>
      </w:r>
      <w:r w:rsidR="00870A11" w:rsidRPr="0044342F">
        <w:rPr>
          <w:rFonts w:ascii="Times New Roman" w:hAnsi="Times New Roman" w:cs="Times New Roman"/>
          <w:sz w:val="24"/>
          <w:szCs w:val="24"/>
        </w:rPr>
        <w:t xml:space="preserve"> 24</w:t>
      </w:r>
      <w:r w:rsidR="00530906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870A11" w:rsidRPr="0044342F">
        <w:rPr>
          <w:rFonts w:ascii="Times New Roman" w:hAnsi="Times New Roman" w:cs="Times New Roman"/>
          <w:sz w:val="24"/>
          <w:szCs w:val="24"/>
        </w:rPr>
        <w:t>(</w:t>
      </w:r>
      <w:r w:rsidR="00530906" w:rsidRPr="0044342F">
        <w:rPr>
          <w:rFonts w:ascii="Times New Roman" w:hAnsi="Times New Roman" w:cs="Times New Roman"/>
          <w:sz w:val="24"/>
          <w:szCs w:val="24"/>
        </w:rPr>
        <w:t>80%</w:t>
      </w:r>
      <w:r w:rsidR="00870A11" w:rsidRPr="0044342F">
        <w:rPr>
          <w:rFonts w:ascii="Times New Roman" w:hAnsi="Times New Roman" w:cs="Times New Roman"/>
          <w:sz w:val="24"/>
          <w:szCs w:val="24"/>
        </w:rPr>
        <w:t xml:space="preserve">) – </w:t>
      </w:r>
      <w:r w:rsidR="002873DB" w:rsidRPr="0044342F">
        <w:rPr>
          <w:rFonts w:ascii="Times New Roman" w:hAnsi="Times New Roman" w:cs="Times New Roman"/>
          <w:sz w:val="24"/>
          <w:szCs w:val="24"/>
        </w:rPr>
        <w:t xml:space="preserve">во </w:t>
      </w:r>
      <w:r w:rsidR="00D12C1E" w:rsidRPr="0044342F">
        <w:rPr>
          <w:rFonts w:ascii="Times New Roman" w:hAnsi="Times New Roman" w:cs="Times New Roman"/>
          <w:sz w:val="24"/>
          <w:szCs w:val="24"/>
        </w:rPr>
        <w:t>группе 2</w:t>
      </w:r>
      <w:r w:rsidR="00530906" w:rsidRPr="0044342F">
        <w:rPr>
          <w:rFonts w:ascii="Times New Roman" w:hAnsi="Times New Roman" w:cs="Times New Roman"/>
          <w:sz w:val="24"/>
          <w:szCs w:val="24"/>
        </w:rPr>
        <w:t xml:space="preserve">. Средняя приверженность к терапии отмечена у </w:t>
      </w:r>
      <w:r w:rsidR="00E85CE6" w:rsidRPr="0044342F">
        <w:rPr>
          <w:rFonts w:ascii="Times New Roman" w:hAnsi="Times New Roman" w:cs="Times New Roman"/>
          <w:sz w:val="24"/>
          <w:szCs w:val="24"/>
        </w:rPr>
        <w:t>7 (</w:t>
      </w:r>
      <w:r w:rsidR="00530906" w:rsidRPr="0044342F">
        <w:rPr>
          <w:rFonts w:ascii="Times New Roman" w:hAnsi="Times New Roman" w:cs="Times New Roman"/>
          <w:sz w:val="24"/>
          <w:szCs w:val="24"/>
        </w:rPr>
        <w:t>23,3%</w:t>
      </w:r>
      <w:r w:rsidR="00E85CE6" w:rsidRPr="0044342F">
        <w:rPr>
          <w:rFonts w:ascii="Times New Roman" w:hAnsi="Times New Roman" w:cs="Times New Roman"/>
          <w:sz w:val="24"/>
          <w:szCs w:val="24"/>
        </w:rPr>
        <w:t>)</w:t>
      </w:r>
      <w:r w:rsidR="00530906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E85CE6" w:rsidRPr="0044342F">
        <w:rPr>
          <w:rFonts w:ascii="Times New Roman" w:hAnsi="Times New Roman" w:cs="Times New Roman"/>
          <w:sz w:val="24"/>
          <w:szCs w:val="24"/>
        </w:rPr>
        <w:t xml:space="preserve">пациентов </w:t>
      </w:r>
      <w:r w:rsidR="00530906" w:rsidRPr="0044342F">
        <w:rPr>
          <w:rFonts w:ascii="Times New Roman" w:hAnsi="Times New Roman" w:cs="Times New Roman"/>
          <w:sz w:val="24"/>
          <w:szCs w:val="24"/>
        </w:rPr>
        <w:t>в группе</w:t>
      </w:r>
      <w:r w:rsidR="00D12C1E" w:rsidRPr="0044342F">
        <w:rPr>
          <w:rFonts w:ascii="Times New Roman" w:hAnsi="Times New Roman" w:cs="Times New Roman"/>
          <w:sz w:val="24"/>
          <w:szCs w:val="24"/>
        </w:rPr>
        <w:t xml:space="preserve"> 1</w:t>
      </w:r>
      <w:r w:rsidR="00530906" w:rsidRPr="0044342F">
        <w:rPr>
          <w:rFonts w:ascii="Times New Roman" w:hAnsi="Times New Roman" w:cs="Times New Roman"/>
          <w:sz w:val="24"/>
          <w:szCs w:val="24"/>
        </w:rPr>
        <w:t xml:space="preserve"> и </w:t>
      </w:r>
      <w:r w:rsidR="00E85CE6" w:rsidRPr="0044342F">
        <w:rPr>
          <w:rFonts w:ascii="Times New Roman" w:hAnsi="Times New Roman" w:cs="Times New Roman"/>
          <w:sz w:val="24"/>
          <w:szCs w:val="24"/>
        </w:rPr>
        <w:t>5</w:t>
      </w:r>
      <w:r w:rsidR="00D12C1E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E85CE6" w:rsidRPr="0044342F">
        <w:rPr>
          <w:rFonts w:ascii="Times New Roman" w:hAnsi="Times New Roman" w:cs="Times New Roman"/>
          <w:sz w:val="24"/>
          <w:szCs w:val="24"/>
        </w:rPr>
        <w:t>(</w:t>
      </w:r>
      <w:r w:rsidR="00530906" w:rsidRPr="0044342F">
        <w:rPr>
          <w:rFonts w:ascii="Times New Roman" w:hAnsi="Times New Roman" w:cs="Times New Roman"/>
          <w:sz w:val="24"/>
          <w:szCs w:val="24"/>
        </w:rPr>
        <w:t>16,7%</w:t>
      </w:r>
      <w:r w:rsidR="00E85CE6" w:rsidRPr="0044342F">
        <w:rPr>
          <w:rFonts w:ascii="Times New Roman" w:hAnsi="Times New Roman" w:cs="Times New Roman"/>
          <w:sz w:val="24"/>
          <w:szCs w:val="24"/>
        </w:rPr>
        <w:t>) –</w:t>
      </w:r>
      <w:r w:rsidR="00530906" w:rsidRPr="0044342F">
        <w:rPr>
          <w:rFonts w:ascii="Times New Roman" w:hAnsi="Times New Roman" w:cs="Times New Roman"/>
          <w:sz w:val="24"/>
          <w:szCs w:val="24"/>
        </w:rPr>
        <w:t xml:space="preserve"> во второй. </w:t>
      </w:r>
      <w:r w:rsidR="00296480">
        <w:rPr>
          <w:rFonts w:ascii="Times New Roman" w:hAnsi="Times New Roman" w:cs="Times New Roman"/>
          <w:sz w:val="24"/>
          <w:szCs w:val="24"/>
        </w:rPr>
        <w:t xml:space="preserve">У </w:t>
      </w:r>
      <w:r w:rsidR="00530906" w:rsidRPr="0044342F">
        <w:rPr>
          <w:rFonts w:ascii="Times New Roman" w:hAnsi="Times New Roman" w:cs="Times New Roman"/>
          <w:sz w:val="24"/>
          <w:szCs w:val="24"/>
        </w:rPr>
        <w:t xml:space="preserve">одного пациента во группе </w:t>
      </w:r>
      <w:r w:rsidR="00D12C1E" w:rsidRPr="0044342F">
        <w:rPr>
          <w:rFonts w:ascii="Times New Roman" w:hAnsi="Times New Roman" w:cs="Times New Roman"/>
          <w:sz w:val="24"/>
          <w:szCs w:val="24"/>
        </w:rPr>
        <w:t xml:space="preserve">2 </w:t>
      </w:r>
      <w:r w:rsidR="00530906" w:rsidRPr="0044342F">
        <w:rPr>
          <w:rFonts w:ascii="Times New Roman" w:hAnsi="Times New Roman" w:cs="Times New Roman"/>
          <w:sz w:val="24"/>
          <w:szCs w:val="24"/>
        </w:rPr>
        <w:t>была низкая приверженность к терапии. П</w:t>
      </w:r>
      <w:r w:rsidR="00D334DE">
        <w:rPr>
          <w:rFonts w:ascii="Times New Roman" w:hAnsi="Times New Roman" w:cs="Times New Roman"/>
          <w:sz w:val="24"/>
          <w:szCs w:val="24"/>
        </w:rPr>
        <w:t>ациент объяснил это тем, что невнимательно</w:t>
      </w:r>
      <w:r w:rsidR="00530906" w:rsidRPr="0044342F">
        <w:rPr>
          <w:rFonts w:ascii="Times New Roman" w:hAnsi="Times New Roman" w:cs="Times New Roman"/>
          <w:sz w:val="24"/>
          <w:szCs w:val="24"/>
        </w:rPr>
        <w:t xml:space="preserve"> относился </w:t>
      </w:r>
      <w:r w:rsidR="004341D1" w:rsidRPr="0044342F">
        <w:rPr>
          <w:rFonts w:ascii="Times New Roman" w:hAnsi="Times New Roman" w:cs="Times New Roman"/>
          <w:sz w:val="24"/>
          <w:szCs w:val="24"/>
        </w:rPr>
        <w:t>ко времени приема препарата и и</w:t>
      </w:r>
      <w:r w:rsidR="00A737B9">
        <w:rPr>
          <w:rFonts w:ascii="Times New Roman" w:hAnsi="Times New Roman" w:cs="Times New Roman"/>
          <w:sz w:val="24"/>
          <w:szCs w:val="24"/>
        </w:rPr>
        <w:t xml:space="preserve">ногда забывал взять препарат </w:t>
      </w:r>
      <w:r w:rsidR="004341D1" w:rsidRPr="0044342F">
        <w:rPr>
          <w:rFonts w:ascii="Times New Roman" w:hAnsi="Times New Roman" w:cs="Times New Roman"/>
          <w:sz w:val="24"/>
          <w:szCs w:val="24"/>
        </w:rPr>
        <w:t>из</w:t>
      </w:r>
      <w:r w:rsidR="00685DA7" w:rsidRPr="0044342F">
        <w:rPr>
          <w:rFonts w:ascii="Times New Roman" w:hAnsi="Times New Roman" w:cs="Times New Roman"/>
          <w:sz w:val="24"/>
          <w:szCs w:val="24"/>
        </w:rPr>
        <w:t>-</w:t>
      </w:r>
      <w:r w:rsidR="00A737B9">
        <w:rPr>
          <w:rFonts w:ascii="Times New Roman" w:hAnsi="Times New Roman" w:cs="Times New Roman"/>
          <w:sz w:val="24"/>
          <w:szCs w:val="24"/>
        </w:rPr>
        <w:t>за суточного графика</w:t>
      </w:r>
      <w:r w:rsidR="00A737B9" w:rsidRPr="0044342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737B9">
        <w:rPr>
          <w:rFonts w:ascii="Times New Roman" w:hAnsi="Times New Roman" w:cs="Times New Roman"/>
          <w:sz w:val="24"/>
          <w:szCs w:val="24"/>
        </w:rPr>
        <w:t>ы</w:t>
      </w:r>
      <w:r w:rsidR="004341D1" w:rsidRPr="0044342F">
        <w:rPr>
          <w:rFonts w:ascii="Times New Roman" w:hAnsi="Times New Roman" w:cs="Times New Roman"/>
          <w:sz w:val="24"/>
          <w:szCs w:val="24"/>
        </w:rPr>
        <w:t xml:space="preserve">. </w:t>
      </w:r>
      <w:r w:rsidR="00834158" w:rsidRPr="0044342F">
        <w:rPr>
          <w:rFonts w:ascii="Times New Roman" w:hAnsi="Times New Roman" w:cs="Times New Roman"/>
          <w:sz w:val="24"/>
          <w:szCs w:val="24"/>
        </w:rPr>
        <w:t>Разница между группами не была статистически значимой (</w:t>
      </w:r>
      <w:r w:rsidR="00CD07CD" w:rsidRPr="0044342F">
        <w:rPr>
          <w:rFonts w:ascii="Times New Roman" w:hAnsi="Times New Roman" w:cs="Times New Roman"/>
          <w:sz w:val="24"/>
          <w:szCs w:val="24"/>
        </w:rPr>
        <w:t>критерий хи-квадрат Пирсона, р=0,5)</w:t>
      </w:r>
      <w:r w:rsidR="00310650" w:rsidRPr="0044342F">
        <w:rPr>
          <w:rFonts w:ascii="Times New Roman" w:hAnsi="Times New Roman" w:cs="Times New Roman"/>
          <w:sz w:val="24"/>
          <w:szCs w:val="24"/>
        </w:rPr>
        <w:t>.</w:t>
      </w:r>
      <w:r w:rsidR="00834158" w:rsidRPr="00443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7BF86" w14:textId="5AB75C61" w:rsidR="00910571" w:rsidRPr="0044342F" w:rsidRDefault="002A02B6" w:rsidP="000435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42F">
        <w:rPr>
          <w:rFonts w:ascii="Times New Roman" w:hAnsi="Times New Roman" w:cs="Times New Roman"/>
          <w:sz w:val="24"/>
          <w:szCs w:val="24"/>
        </w:rPr>
        <w:t xml:space="preserve">Обращает на себя внимание хорошая переносимость препаратов сравнения. </w:t>
      </w:r>
      <w:r w:rsidR="005A1131">
        <w:rPr>
          <w:rFonts w:ascii="Times New Roman" w:hAnsi="Times New Roman" w:cs="Times New Roman"/>
          <w:sz w:val="24"/>
          <w:szCs w:val="24"/>
        </w:rPr>
        <w:t>СНЯ во время исследования зарегистрировано не было.</w:t>
      </w:r>
      <w:r w:rsidR="005A1131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C93647" w:rsidRPr="0044342F">
        <w:rPr>
          <w:rFonts w:ascii="Times New Roman" w:hAnsi="Times New Roman" w:cs="Times New Roman"/>
          <w:sz w:val="24"/>
          <w:szCs w:val="24"/>
        </w:rPr>
        <w:t xml:space="preserve">При оценке частоты </w:t>
      </w:r>
      <w:r w:rsidR="00C11904">
        <w:rPr>
          <w:rFonts w:ascii="Times New Roman" w:hAnsi="Times New Roman" w:cs="Times New Roman"/>
          <w:sz w:val="24"/>
          <w:szCs w:val="24"/>
        </w:rPr>
        <w:t>НР</w:t>
      </w:r>
      <w:r w:rsidR="00293D0A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C93647" w:rsidRPr="0044342F">
        <w:rPr>
          <w:rFonts w:ascii="Times New Roman" w:hAnsi="Times New Roman" w:cs="Times New Roman"/>
          <w:sz w:val="24"/>
          <w:szCs w:val="24"/>
        </w:rPr>
        <w:t xml:space="preserve">у пациентов во время приема антибактериальной терапии в течение 10 дней </w:t>
      </w:r>
      <w:r w:rsidR="00A737B9">
        <w:rPr>
          <w:rFonts w:ascii="Times New Roman" w:hAnsi="Times New Roman" w:cs="Times New Roman"/>
          <w:sz w:val="24"/>
          <w:szCs w:val="24"/>
        </w:rPr>
        <w:t>(</w:t>
      </w:r>
      <w:r w:rsidR="00D40D0F" w:rsidRPr="0044342F">
        <w:rPr>
          <w:rFonts w:ascii="Times New Roman" w:hAnsi="Times New Roman" w:cs="Times New Roman"/>
          <w:sz w:val="24"/>
          <w:szCs w:val="24"/>
        </w:rPr>
        <w:t xml:space="preserve">рис. 3) </w:t>
      </w:r>
      <w:r w:rsidR="00C93647" w:rsidRPr="0044342F">
        <w:rPr>
          <w:rFonts w:ascii="Times New Roman" w:hAnsi="Times New Roman" w:cs="Times New Roman"/>
          <w:sz w:val="24"/>
          <w:szCs w:val="24"/>
        </w:rPr>
        <w:t>отмечено,</w:t>
      </w:r>
      <w:r w:rsidR="00556979" w:rsidRPr="0044342F">
        <w:rPr>
          <w:rFonts w:ascii="Times New Roman" w:hAnsi="Times New Roman" w:cs="Times New Roman"/>
          <w:sz w:val="24"/>
          <w:szCs w:val="24"/>
        </w:rPr>
        <w:t xml:space="preserve"> что</w:t>
      </w:r>
      <w:r w:rsidR="00C93647" w:rsidRPr="0044342F">
        <w:rPr>
          <w:rFonts w:ascii="Times New Roman" w:hAnsi="Times New Roman" w:cs="Times New Roman"/>
          <w:sz w:val="24"/>
          <w:szCs w:val="24"/>
        </w:rPr>
        <w:t xml:space="preserve"> в группе</w:t>
      </w:r>
      <w:r w:rsidRPr="0044342F">
        <w:rPr>
          <w:rFonts w:ascii="Times New Roman" w:hAnsi="Times New Roman" w:cs="Times New Roman"/>
          <w:sz w:val="24"/>
          <w:szCs w:val="24"/>
        </w:rPr>
        <w:t xml:space="preserve"> 1</w:t>
      </w:r>
      <w:r w:rsidR="00C93647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8A15B9" w:rsidRPr="0044342F">
        <w:rPr>
          <w:rFonts w:ascii="Times New Roman" w:hAnsi="Times New Roman" w:cs="Times New Roman"/>
          <w:sz w:val="24"/>
          <w:szCs w:val="24"/>
        </w:rPr>
        <w:t xml:space="preserve">к 3-ему дню терапии </w:t>
      </w:r>
      <w:r w:rsidR="00C11904">
        <w:rPr>
          <w:rFonts w:ascii="Times New Roman" w:hAnsi="Times New Roman" w:cs="Times New Roman"/>
          <w:sz w:val="24"/>
          <w:szCs w:val="24"/>
        </w:rPr>
        <w:t>НР</w:t>
      </w:r>
      <w:r w:rsidR="00955E1B">
        <w:rPr>
          <w:rFonts w:ascii="Times New Roman" w:hAnsi="Times New Roman" w:cs="Times New Roman"/>
          <w:sz w:val="24"/>
          <w:szCs w:val="24"/>
        </w:rPr>
        <w:t xml:space="preserve"> </w:t>
      </w:r>
      <w:r w:rsidR="008A15B9" w:rsidRPr="0044342F">
        <w:rPr>
          <w:rFonts w:ascii="Times New Roman" w:hAnsi="Times New Roman" w:cs="Times New Roman"/>
          <w:sz w:val="24"/>
          <w:szCs w:val="24"/>
        </w:rPr>
        <w:t>наблюда</w:t>
      </w:r>
      <w:r w:rsidR="00F06399" w:rsidRPr="0044342F">
        <w:rPr>
          <w:rFonts w:ascii="Times New Roman" w:hAnsi="Times New Roman" w:cs="Times New Roman"/>
          <w:sz w:val="24"/>
          <w:szCs w:val="24"/>
        </w:rPr>
        <w:t>лись</w:t>
      </w:r>
      <w:r w:rsidR="008A15B9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6C2D05" w:rsidRPr="0044342F">
        <w:rPr>
          <w:rFonts w:ascii="Times New Roman" w:hAnsi="Times New Roman" w:cs="Times New Roman"/>
          <w:sz w:val="24"/>
          <w:szCs w:val="24"/>
        </w:rPr>
        <w:t>у 1 пациента</w:t>
      </w:r>
      <w:r w:rsidR="00C43997" w:rsidRPr="0044342F">
        <w:rPr>
          <w:rFonts w:ascii="Times New Roman" w:hAnsi="Times New Roman" w:cs="Times New Roman"/>
          <w:sz w:val="24"/>
          <w:szCs w:val="24"/>
        </w:rPr>
        <w:t xml:space="preserve"> (</w:t>
      </w:r>
      <w:r w:rsidR="00C93647" w:rsidRPr="0044342F">
        <w:rPr>
          <w:rFonts w:ascii="Times New Roman" w:hAnsi="Times New Roman" w:cs="Times New Roman"/>
          <w:sz w:val="24"/>
          <w:szCs w:val="24"/>
        </w:rPr>
        <w:t>3,3%</w:t>
      </w:r>
      <w:r w:rsidR="00C43997" w:rsidRPr="0044342F">
        <w:rPr>
          <w:rFonts w:ascii="Times New Roman" w:hAnsi="Times New Roman" w:cs="Times New Roman"/>
          <w:sz w:val="24"/>
          <w:szCs w:val="24"/>
        </w:rPr>
        <w:t>)</w:t>
      </w:r>
      <w:r w:rsidR="00C93647" w:rsidRPr="0044342F">
        <w:rPr>
          <w:rFonts w:ascii="Times New Roman" w:hAnsi="Times New Roman" w:cs="Times New Roman"/>
          <w:sz w:val="24"/>
          <w:szCs w:val="24"/>
        </w:rPr>
        <w:t>, в</w:t>
      </w:r>
      <w:r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C93647" w:rsidRPr="0044342F">
        <w:rPr>
          <w:rFonts w:ascii="Times New Roman" w:hAnsi="Times New Roman" w:cs="Times New Roman"/>
          <w:sz w:val="24"/>
          <w:szCs w:val="24"/>
        </w:rPr>
        <w:t>группе</w:t>
      </w:r>
      <w:r w:rsidRPr="0044342F">
        <w:rPr>
          <w:rFonts w:ascii="Times New Roman" w:hAnsi="Times New Roman" w:cs="Times New Roman"/>
          <w:sz w:val="24"/>
          <w:szCs w:val="24"/>
        </w:rPr>
        <w:t xml:space="preserve"> 2</w:t>
      </w:r>
      <w:r w:rsidR="00C93647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C43997" w:rsidRPr="0044342F">
        <w:rPr>
          <w:rFonts w:ascii="Times New Roman" w:hAnsi="Times New Roman" w:cs="Times New Roman"/>
          <w:sz w:val="24"/>
          <w:szCs w:val="24"/>
        </w:rPr>
        <w:t>– у 3</w:t>
      </w:r>
      <w:r w:rsidR="00910571" w:rsidRPr="0044342F">
        <w:rPr>
          <w:rFonts w:ascii="Times New Roman" w:hAnsi="Times New Roman" w:cs="Times New Roman"/>
          <w:sz w:val="24"/>
          <w:szCs w:val="24"/>
        </w:rPr>
        <w:t>-х испытуемых</w:t>
      </w:r>
      <w:r w:rsidR="00C43997" w:rsidRPr="0044342F">
        <w:rPr>
          <w:rFonts w:ascii="Times New Roman" w:hAnsi="Times New Roman" w:cs="Times New Roman"/>
          <w:sz w:val="24"/>
          <w:szCs w:val="24"/>
        </w:rPr>
        <w:t xml:space="preserve"> (</w:t>
      </w:r>
      <w:r w:rsidR="00C93647" w:rsidRPr="0044342F">
        <w:rPr>
          <w:rFonts w:ascii="Times New Roman" w:hAnsi="Times New Roman" w:cs="Times New Roman"/>
          <w:sz w:val="24"/>
          <w:szCs w:val="24"/>
        </w:rPr>
        <w:t>10%</w:t>
      </w:r>
      <w:r w:rsidR="00C43997" w:rsidRPr="0044342F">
        <w:rPr>
          <w:rFonts w:ascii="Times New Roman" w:hAnsi="Times New Roman" w:cs="Times New Roman"/>
          <w:sz w:val="24"/>
          <w:szCs w:val="24"/>
        </w:rPr>
        <w:t>)</w:t>
      </w:r>
      <w:r w:rsidR="00E64288" w:rsidRPr="0044342F">
        <w:rPr>
          <w:rFonts w:ascii="Times New Roman" w:hAnsi="Times New Roman" w:cs="Times New Roman"/>
          <w:sz w:val="24"/>
          <w:szCs w:val="24"/>
        </w:rPr>
        <w:t>.</w:t>
      </w:r>
      <w:r w:rsidR="00C93647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E64288" w:rsidRPr="0044342F">
        <w:rPr>
          <w:rFonts w:ascii="Times New Roman" w:hAnsi="Times New Roman" w:cs="Times New Roman"/>
          <w:sz w:val="24"/>
          <w:szCs w:val="24"/>
        </w:rPr>
        <w:t xml:space="preserve">Разница </w:t>
      </w:r>
      <w:r w:rsidR="005C2599" w:rsidRPr="0044342F">
        <w:rPr>
          <w:rFonts w:ascii="Times New Roman" w:hAnsi="Times New Roman" w:cs="Times New Roman"/>
          <w:sz w:val="24"/>
          <w:szCs w:val="24"/>
        </w:rPr>
        <w:t>не была</w:t>
      </w:r>
      <w:r w:rsidR="00C93647" w:rsidRPr="0044342F">
        <w:rPr>
          <w:rFonts w:ascii="Times New Roman" w:hAnsi="Times New Roman" w:cs="Times New Roman"/>
          <w:sz w:val="24"/>
          <w:szCs w:val="24"/>
        </w:rPr>
        <w:t xml:space="preserve"> статистически</w:t>
      </w:r>
      <w:r w:rsidR="005C2599" w:rsidRPr="0044342F">
        <w:rPr>
          <w:rFonts w:ascii="Times New Roman" w:hAnsi="Times New Roman" w:cs="Times New Roman"/>
          <w:sz w:val="24"/>
          <w:szCs w:val="24"/>
        </w:rPr>
        <w:t xml:space="preserve"> значима</w:t>
      </w:r>
      <w:r w:rsidR="00C93647" w:rsidRPr="0044342F">
        <w:rPr>
          <w:rFonts w:ascii="Times New Roman" w:hAnsi="Times New Roman" w:cs="Times New Roman"/>
          <w:sz w:val="24"/>
          <w:szCs w:val="24"/>
        </w:rPr>
        <w:t xml:space="preserve"> (</w:t>
      </w:r>
      <w:r w:rsidR="00910571" w:rsidRPr="0044342F">
        <w:rPr>
          <w:rFonts w:ascii="Times New Roman" w:hAnsi="Times New Roman" w:cs="Times New Roman"/>
          <w:sz w:val="24"/>
          <w:szCs w:val="24"/>
        </w:rPr>
        <w:t xml:space="preserve">точный тест Барнарда для таблиц сопряженности 2х2, </w:t>
      </w:r>
      <w:r w:rsidR="00910571" w:rsidRPr="0044342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10571" w:rsidRPr="0044342F">
        <w:rPr>
          <w:rFonts w:ascii="Times New Roman" w:hAnsi="Times New Roman" w:cs="Times New Roman"/>
          <w:sz w:val="24"/>
          <w:szCs w:val="24"/>
        </w:rPr>
        <w:t>=0,417</w:t>
      </w:r>
      <w:r w:rsidR="00C93647" w:rsidRPr="0044342F">
        <w:rPr>
          <w:rFonts w:ascii="Times New Roman" w:hAnsi="Times New Roman" w:cs="Times New Roman"/>
          <w:sz w:val="24"/>
          <w:szCs w:val="24"/>
        </w:rPr>
        <w:t>).</w:t>
      </w:r>
      <w:r w:rsidR="00F8424D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240533" w:rsidRPr="0044342F">
        <w:rPr>
          <w:rFonts w:ascii="Times New Roman" w:hAnsi="Times New Roman" w:cs="Times New Roman"/>
          <w:sz w:val="24"/>
          <w:szCs w:val="24"/>
        </w:rPr>
        <w:t>К</w:t>
      </w:r>
      <w:r w:rsidR="008A15B9" w:rsidRPr="0044342F">
        <w:rPr>
          <w:rFonts w:ascii="Times New Roman" w:hAnsi="Times New Roman" w:cs="Times New Roman"/>
          <w:sz w:val="24"/>
          <w:szCs w:val="24"/>
        </w:rPr>
        <w:t xml:space="preserve"> 10-му дню лечения</w:t>
      </w:r>
      <w:r w:rsidR="00955E1B">
        <w:rPr>
          <w:rFonts w:ascii="Times New Roman" w:hAnsi="Times New Roman" w:cs="Times New Roman"/>
          <w:sz w:val="24"/>
          <w:szCs w:val="24"/>
        </w:rPr>
        <w:t xml:space="preserve"> </w:t>
      </w:r>
      <w:r w:rsidR="000435F1">
        <w:rPr>
          <w:rFonts w:ascii="Times New Roman" w:hAnsi="Times New Roman" w:cs="Times New Roman"/>
          <w:sz w:val="24"/>
          <w:szCs w:val="24"/>
        </w:rPr>
        <w:t xml:space="preserve">в группе 1, получавшей </w:t>
      </w:r>
      <w:r w:rsidR="004121A4" w:rsidRPr="004121A4">
        <w:rPr>
          <w:rFonts w:ascii="Times New Roman" w:hAnsi="Times New Roman" w:cs="Times New Roman"/>
          <w:sz w:val="24"/>
          <w:szCs w:val="24"/>
        </w:rPr>
        <w:t>Амоксициллин + Клавулановая кислота ЭКСПРЕСС в диспергируемой форме</w:t>
      </w:r>
      <w:r w:rsidR="000435F1">
        <w:rPr>
          <w:rFonts w:ascii="Times New Roman" w:hAnsi="Times New Roman" w:cs="Times New Roman"/>
          <w:sz w:val="24"/>
          <w:szCs w:val="24"/>
        </w:rPr>
        <w:t>,</w:t>
      </w:r>
      <w:r w:rsidR="004121A4" w:rsidRPr="004121A4">
        <w:rPr>
          <w:rFonts w:ascii="Times New Roman" w:hAnsi="Times New Roman" w:cs="Times New Roman"/>
          <w:sz w:val="24"/>
          <w:szCs w:val="24"/>
        </w:rPr>
        <w:t xml:space="preserve"> </w:t>
      </w:r>
      <w:r w:rsidR="000435F1">
        <w:rPr>
          <w:rFonts w:ascii="Times New Roman" w:hAnsi="Times New Roman" w:cs="Times New Roman"/>
          <w:sz w:val="24"/>
          <w:szCs w:val="24"/>
        </w:rPr>
        <w:t xml:space="preserve">была выявлена достоверно более низкая частота </w:t>
      </w:r>
      <w:r w:rsidR="00C11904">
        <w:rPr>
          <w:rFonts w:ascii="Times New Roman" w:hAnsi="Times New Roman" w:cs="Times New Roman"/>
          <w:sz w:val="24"/>
          <w:szCs w:val="24"/>
        </w:rPr>
        <w:t>НР</w:t>
      </w:r>
      <w:r w:rsidR="000435F1">
        <w:rPr>
          <w:rFonts w:ascii="Times New Roman" w:hAnsi="Times New Roman" w:cs="Times New Roman"/>
          <w:sz w:val="24"/>
          <w:szCs w:val="24"/>
        </w:rPr>
        <w:t>, чем при приеме</w:t>
      </w:r>
      <w:r w:rsidR="004121A4">
        <w:rPr>
          <w:rFonts w:ascii="Times New Roman" w:hAnsi="Times New Roman" w:cs="Times New Roman"/>
          <w:sz w:val="24"/>
          <w:szCs w:val="24"/>
        </w:rPr>
        <w:t xml:space="preserve"> </w:t>
      </w:r>
      <w:r w:rsidR="004121A4" w:rsidRPr="004121A4">
        <w:rPr>
          <w:rFonts w:ascii="Times New Roman" w:hAnsi="Times New Roman" w:cs="Times New Roman"/>
          <w:sz w:val="24"/>
          <w:szCs w:val="24"/>
        </w:rPr>
        <w:t>амоксициллин</w:t>
      </w:r>
      <w:r w:rsidR="000435F1">
        <w:rPr>
          <w:rFonts w:ascii="Times New Roman" w:hAnsi="Times New Roman" w:cs="Times New Roman"/>
          <w:sz w:val="24"/>
          <w:szCs w:val="24"/>
        </w:rPr>
        <w:t>а</w:t>
      </w:r>
      <w:r w:rsidR="004121A4">
        <w:rPr>
          <w:rFonts w:ascii="Times New Roman" w:hAnsi="Times New Roman" w:cs="Times New Roman"/>
          <w:sz w:val="24"/>
          <w:szCs w:val="24"/>
        </w:rPr>
        <w:t xml:space="preserve"> с клавулановой кислотой</w:t>
      </w:r>
      <w:r w:rsidR="004121A4" w:rsidRPr="004121A4">
        <w:rPr>
          <w:rFonts w:ascii="Times New Roman" w:hAnsi="Times New Roman" w:cs="Times New Roman"/>
          <w:sz w:val="24"/>
          <w:szCs w:val="24"/>
        </w:rPr>
        <w:t xml:space="preserve"> в таблетках, покрытых оболочкой</w:t>
      </w:r>
      <w:r w:rsidR="004121A4">
        <w:rPr>
          <w:rFonts w:ascii="Times New Roman" w:hAnsi="Times New Roman" w:cs="Times New Roman"/>
          <w:sz w:val="24"/>
          <w:szCs w:val="24"/>
        </w:rPr>
        <w:t xml:space="preserve">. </w:t>
      </w:r>
      <w:r w:rsidR="000435F1">
        <w:rPr>
          <w:rFonts w:ascii="Times New Roman" w:hAnsi="Times New Roman" w:cs="Times New Roman"/>
          <w:sz w:val="24"/>
          <w:szCs w:val="24"/>
        </w:rPr>
        <w:t>В</w:t>
      </w:r>
      <w:r w:rsidR="008A15B9" w:rsidRPr="0044342F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3472D8">
        <w:rPr>
          <w:rFonts w:ascii="Times New Roman" w:hAnsi="Times New Roman" w:cs="Times New Roman"/>
          <w:sz w:val="24"/>
          <w:szCs w:val="24"/>
        </w:rPr>
        <w:t xml:space="preserve"> 1 </w:t>
      </w:r>
      <w:r w:rsidR="00D42226">
        <w:rPr>
          <w:rFonts w:ascii="Times New Roman" w:hAnsi="Times New Roman" w:cs="Times New Roman"/>
          <w:sz w:val="24"/>
          <w:szCs w:val="24"/>
        </w:rPr>
        <w:t>НР</w:t>
      </w:r>
      <w:r w:rsidR="003472D8">
        <w:rPr>
          <w:rFonts w:ascii="Times New Roman" w:hAnsi="Times New Roman" w:cs="Times New Roman"/>
          <w:sz w:val="24"/>
          <w:szCs w:val="24"/>
        </w:rPr>
        <w:t xml:space="preserve"> </w:t>
      </w:r>
      <w:r w:rsidR="008A15B9" w:rsidRPr="0044342F">
        <w:rPr>
          <w:rFonts w:ascii="Times New Roman" w:hAnsi="Times New Roman" w:cs="Times New Roman"/>
          <w:sz w:val="24"/>
          <w:szCs w:val="24"/>
        </w:rPr>
        <w:t xml:space="preserve">встречались </w:t>
      </w:r>
      <w:r w:rsidR="004A3959" w:rsidRPr="0044342F">
        <w:rPr>
          <w:rFonts w:ascii="Times New Roman" w:hAnsi="Times New Roman" w:cs="Times New Roman"/>
          <w:sz w:val="24"/>
          <w:szCs w:val="24"/>
        </w:rPr>
        <w:t>в 3</w:t>
      </w:r>
      <w:r w:rsidR="008A15B9" w:rsidRPr="0044342F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4A3959" w:rsidRPr="0044342F">
        <w:rPr>
          <w:rFonts w:ascii="Times New Roman" w:hAnsi="Times New Roman" w:cs="Times New Roman"/>
          <w:sz w:val="24"/>
          <w:szCs w:val="24"/>
        </w:rPr>
        <w:t>ях (10%)</w:t>
      </w:r>
      <w:r w:rsidR="008A15B9" w:rsidRPr="0044342F">
        <w:rPr>
          <w:rFonts w:ascii="Times New Roman" w:hAnsi="Times New Roman" w:cs="Times New Roman"/>
          <w:sz w:val="24"/>
          <w:szCs w:val="24"/>
        </w:rPr>
        <w:t>, а во второй группе</w:t>
      </w:r>
      <w:r w:rsidR="00F8424D" w:rsidRPr="0044342F">
        <w:rPr>
          <w:rFonts w:ascii="Times New Roman" w:hAnsi="Times New Roman" w:cs="Times New Roman"/>
          <w:sz w:val="24"/>
          <w:szCs w:val="24"/>
        </w:rPr>
        <w:t xml:space="preserve"> – в </w:t>
      </w:r>
      <w:r w:rsidR="004A3959" w:rsidRPr="0044342F">
        <w:rPr>
          <w:rFonts w:ascii="Times New Roman" w:hAnsi="Times New Roman" w:cs="Times New Roman"/>
          <w:sz w:val="24"/>
          <w:szCs w:val="24"/>
        </w:rPr>
        <w:t>10 (</w:t>
      </w:r>
      <w:r w:rsidR="00F8424D" w:rsidRPr="0044342F">
        <w:rPr>
          <w:rFonts w:ascii="Times New Roman" w:hAnsi="Times New Roman" w:cs="Times New Roman"/>
          <w:sz w:val="24"/>
          <w:szCs w:val="24"/>
        </w:rPr>
        <w:t>33,3%</w:t>
      </w:r>
      <w:r w:rsidR="004A3959" w:rsidRPr="0044342F">
        <w:rPr>
          <w:rFonts w:ascii="Times New Roman" w:hAnsi="Times New Roman" w:cs="Times New Roman"/>
          <w:sz w:val="24"/>
          <w:szCs w:val="24"/>
        </w:rPr>
        <w:t>)</w:t>
      </w:r>
      <w:r w:rsidR="00F8424D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8958B2" w:rsidRPr="0044342F">
        <w:rPr>
          <w:rFonts w:ascii="Times New Roman" w:hAnsi="Times New Roman" w:cs="Times New Roman"/>
          <w:sz w:val="24"/>
          <w:szCs w:val="24"/>
        </w:rPr>
        <w:t>–</w:t>
      </w:r>
      <w:r w:rsidR="00F8424D" w:rsidRPr="0044342F">
        <w:rPr>
          <w:rFonts w:ascii="Times New Roman" w:hAnsi="Times New Roman" w:cs="Times New Roman"/>
          <w:sz w:val="24"/>
          <w:szCs w:val="24"/>
        </w:rPr>
        <w:t xml:space="preserve"> у каждого третьего пациента</w:t>
      </w:r>
      <w:r w:rsidR="00AB636A">
        <w:rPr>
          <w:rFonts w:ascii="Times New Roman" w:hAnsi="Times New Roman" w:cs="Times New Roman"/>
          <w:sz w:val="24"/>
          <w:szCs w:val="24"/>
        </w:rPr>
        <w:t xml:space="preserve"> (рис</w:t>
      </w:r>
      <w:r w:rsidR="000435F1">
        <w:rPr>
          <w:rFonts w:ascii="Times New Roman" w:hAnsi="Times New Roman" w:cs="Times New Roman"/>
          <w:sz w:val="24"/>
          <w:szCs w:val="24"/>
        </w:rPr>
        <w:t>.</w:t>
      </w:r>
      <w:r w:rsidR="00AB636A">
        <w:rPr>
          <w:rFonts w:ascii="Times New Roman" w:hAnsi="Times New Roman" w:cs="Times New Roman"/>
          <w:sz w:val="24"/>
          <w:szCs w:val="24"/>
        </w:rPr>
        <w:t xml:space="preserve"> </w:t>
      </w:r>
      <w:r w:rsidR="00817138">
        <w:rPr>
          <w:rFonts w:ascii="Times New Roman" w:hAnsi="Times New Roman" w:cs="Times New Roman"/>
          <w:sz w:val="24"/>
          <w:szCs w:val="24"/>
        </w:rPr>
        <w:t>3</w:t>
      </w:r>
      <w:r w:rsidR="00AB636A">
        <w:rPr>
          <w:rFonts w:ascii="Times New Roman" w:hAnsi="Times New Roman" w:cs="Times New Roman"/>
          <w:sz w:val="24"/>
          <w:szCs w:val="24"/>
        </w:rPr>
        <w:t>)</w:t>
      </w:r>
      <w:r w:rsidR="00F8424D" w:rsidRPr="0044342F">
        <w:rPr>
          <w:rFonts w:ascii="Times New Roman" w:hAnsi="Times New Roman" w:cs="Times New Roman"/>
          <w:sz w:val="24"/>
          <w:szCs w:val="24"/>
        </w:rPr>
        <w:t xml:space="preserve">. </w:t>
      </w:r>
      <w:r w:rsidR="00910571" w:rsidRPr="0044342F">
        <w:rPr>
          <w:rFonts w:ascii="Times New Roman" w:hAnsi="Times New Roman" w:cs="Times New Roman"/>
          <w:sz w:val="24"/>
          <w:szCs w:val="24"/>
        </w:rPr>
        <w:t xml:space="preserve">Данная разница достигла уровня статистической значимости в 0,05 (точный тест Барнарда для таблиц сопряженности 2х2, </w:t>
      </w:r>
      <w:r w:rsidR="00910571" w:rsidRPr="0044342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10571" w:rsidRPr="0044342F">
        <w:rPr>
          <w:rFonts w:ascii="Times New Roman" w:hAnsi="Times New Roman" w:cs="Times New Roman"/>
          <w:sz w:val="24"/>
          <w:szCs w:val="24"/>
        </w:rPr>
        <w:t xml:space="preserve">=0,03). </w:t>
      </w:r>
    </w:p>
    <w:p w14:paraId="199D39AF" w14:textId="156345D1" w:rsidR="003472D8" w:rsidRPr="003472D8" w:rsidRDefault="003472D8" w:rsidP="00347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D8">
        <w:rPr>
          <w:rFonts w:ascii="Times New Roman" w:hAnsi="Times New Roman" w:cs="Times New Roman"/>
          <w:b/>
          <w:sz w:val="24"/>
          <w:szCs w:val="24"/>
        </w:rPr>
        <w:t xml:space="preserve">Рисунок 3. </w:t>
      </w:r>
      <w:r>
        <w:rPr>
          <w:rFonts w:ascii="Times New Roman" w:hAnsi="Times New Roman" w:cs="Times New Roman"/>
          <w:b/>
          <w:sz w:val="24"/>
          <w:szCs w:val="24"/>
        </w:rPr>
        <w:t xml:space="preserve">Количество пациентов с зарегистрированными </w:t>
      </w:r>
      <w:r w:rsidR="00D42226">
        <w:rPr>
          <w:rFonts w:ascii="Times New Roman" w:hAnsi="Times New Roman" w:cs="Times New Roman"/>
          <w:b/>
          <w:sz w:val="24"/>
          <w:szCs w:val="24"/>
        </w:rPr>
        <w:t>НР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фоне проводимой терапии на Визитах 2 и 3</w:t>
      </w:r>
      <w:r w:rsidRPr="003472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4BA4F9" w14:textId="64DD51EF" w:rsidR="002F318F" w:rsidRPr="0044342F" w:rsidRDefault="002F318F" w:rsidP="003472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0AE93" w14:textId="65ED4B5C" w:rsidR="00F60464" w:rsidRPr="0044342F" w:rsidRDefault="00743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2F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041A5728" wp14:editId="51A56A5B">
            <wp:extent cx="5940425" cy="3279775"/>
            <wp:effectExtent l="0" t="0" r="3175" b="0"/>
            <wp:docPr id="23862448" name="Picture 3" descr="A graph of different sizes and colo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2448" name="Picture 3" descr="A graph of different sizes and colo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BA5BB" w14:textId="77777777" w:rsidR="00026E23" w:rsidRPr="0044342F" w:rsidRDefault="00026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2B36C9" w14:textId="53BC9BA6" w:rsidR="00011DE6" w:rsidRPr="0044342F" w:rsidRDefault="00C936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42F">
        <w:rPr>
          <w:rFonts w:ascii="Times New Roman" w:hAnsi="Times New Roman" w:cs="Times New Roman"/>
          <w:sz w:val="24"/>
          <w:szCs w:val="24"/>
        </w:rPr>
        <w:t xml:space="preserve">Во всех случаях степень тяжести </w:t>
      </w:r>
      <w:r w:rsidR="00D42226">
        <w:rPr>
          <w:rFonts w:ascii="Times New Roman" w:hAnsi="Times New Roman" w:cs="Times New Roman"/>
          <w:sz w:val="24"/>
          <w:szCs w:val="24"/>
        </w:rPr>
        <w:t>НР</w:t>
      </w:r>
      <w:r w:rsidR="003472D8">
        <w:rPr>
          <w:rFonts w:ascii="Times New Roman" w:hAnsi="Times New Roman" w:cs="Times New Roman"/>
          <w:sz w:val="24"/>
          <w:szCs w:val="24"/>
        </w:rPr>
        <w:t>,</w:t>
      </w:r>
      <w:r w:rsidR="00293D0A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3472D8">
        <w:rPr>
          <w:rFonts w:ascii="Times New Roman" w:hAnsi="Times New Roman" w:cs="Times New Roman"/>
          <w:sz w:val="24"/>
          <w:szCs w:val="24"/>
        </w:rPr>
        <w:t>связанных</w:t>
      </w:r>
      <w:r w:rsidR="003472D8" w:rsidRPr="0044342F">
        <w:rPr>
          <w:rFonts w:ascii="Times New Roman" w:hAnsi="Times New Roman" w:cs="Times New Roman"/>
          <w:sz w:val="24"/>
          <w:szCs w:val="24"/>
        </w:rPr>
        <w:t xml:space="preserve"> с приемом антибактериального препарата</w:t>
      </w:r>
      <w:r w:rsidR="003472D8">
        <w:rPr>
          <w:rFonts w:ascii="Times New Roman" w:hAnsi="Times New Roman" w:cs="Times New Roman"/>
          <w:sz w:val="24"/>
          <w:szCs w:val="24"/>
        </w:rPr>
        <w:t>,</w:t>
      </w:r>
      <w:r w:rsidR="003472D8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3472D8">
        <w:rPr>
          <w:rFonts w:ascii="Times New Roman" w:hAnsi="Times New Roman" w:cs="Times New Roman"/>
          <w:sz w:val="24"/>
          <w:szCs w:val="24"/>
        </w:rPr>
        <w:t>к 3-</w:t>
      </w:r>
      <w:r w:rsidR="00F8424D" w:rsidRPr="0044342F">
        <w:rPr>
          <w:rFonts w:ascii="Times New Roman" w:hAnsi="Times New Roman" w:cs="Times New Roman"/>
          <w:sz w:val="24"/>
          <w:szCs w:val="24"/>
        </w:rPr>
        <w:t xml:space="preserve">му дню лечения </w:t>
      </w:r>
      <w:r w:rsidR="003472D8">
        <w:rPr>
          <w:rFonts w:ascii="Times New Roman" w:hAnsi="Times New Roman" w:cs="Times New Roman"/>
          <w:sz w:val="24"/>
          <w:szCs w:val="24"/>
        </w:rPr>
        <w:t xml:space="preserve">была легкая </w:t>
      </w:r>
      <w:r w:rsidR="008A15B9" w:rsidRPr="0044342F">
        <w:rPr>
          <w:rFonts w:ascii="Times New Roman" w:hAnsi="Times New Roman" w:cs="Times New Roman"/>
          <w:sz w:val="24"/>
          <w:szCs w:val="24"/>
        </w:rPr>
        <w:t>и не требовала отмены лечения.</w:t>
      </w:r>
      <w:r w:rsidR="00556979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F8424D" w:rsidRPr="0044342F">
        <w:rPr>
          <w:rFonts w:ascii="Times New Roman" w:hAnsi="Times New Roman" w:cs="Times New Roman"/>
          <w:sz w:val="24"/>
          <w:szCs w:val="24"/>
        </w:rPr>
        <w:t>К 10</w:t>
      </w:r>
      <w:r w:rsidR="00A737B9">
        <w:rPr>
          <w:rFonts w:ascii="Times New Roman" w:hAnsi="Times New Roman" w:cs="Times New Roman"/>
          <w:sz w:val="24"/>
          <w:szCs w:val="24"/>
        </w:rPr>
        <w:t>-му</w:t>
      </w:r>
      <w:r w:rsidR="00F8424D" w:rsidRPr="0044342F">
        <w:rPr>
          <w:rFonts w:ascii="Times New Roman" w:hAnsi="Times New Roman" w:cs="Times New Roman"/>
          <w:sz w:val="24"/>
          <w:szCs w:val="24"/>
        </w:rPr>
        <w:t xml:space="preserve"> дню лечения у </w:t>
      </w:r>
      <w:r w:rsidR="003472D8">
        <w:rPr>
          <w:rFonts w:ascii="Times New Roman" w:hAnsi="Times New Roman" w:cs="Times New Roman"/>
          <w:sz w:val="24"/>
          <w:szCs w:val="24"/>
        </w:rPr>
        <w:t>2</w:t>
      </w:r>
      <w:r w:rsidR="00F8424D" w:rsidRPr="0044342F">
        <w:rPr>
          <w:rFonts w:ascii="Times New Roman" w:hAnsi="Times New Roman" w:cs="Times New Roman"/>
          <w:sz w:val="24"/>
          <w:szCs w:val="24"/>
        </w:rPr>
        <w:t xml:space="preserve"> пациентов в группе </w:t>
      </w:r>
      <w:r w:rsidR="00293D0A" w:rsidRPr="0044342F">
        <w:rPr>
          <w:rFonts w:ascii="Times New Roman" w:hAnsi="Times New Roman" w:cs="Times New Roman"/>
          <w:sz w:val="24"/>
          <w:szCs w:val="24"/>
        </w:rPr>
        <w:t xml:space="preserve">1 </w:t>
      </w:r>
      <w:r w:rsidR="00F8424D" w:rsidRPr="0044342F">
        <w:rPr>
          <w:rFonts w:ascii="Times New Roman" w:hAnsi="Times New Roman" w:cs="Times New Roman"/>
          <w:sz w:val="24"/>
          <w:szCs w:val="24"/>
        </w:rPr>
        <w:t xml:space="preserve">и </w:t>
      </w:r>
      <w:r w:rsidR="003472D8">
        <w:rPr>
          <w:rFonts w:ascii="Times New Roman" w:hAnsi="Times New Roman" w:cs="Times New Roman"/>
          <w:sz w:val="24"/>
          <w:szCs w:val="24"/>
        </w:rPr>
        <w:t>2</w:t>
      </w:r>
      <w:r w:rsidR="00F8424D" w:rsidRPr="0044342F">
        <w:rPr>
          <w:rFonts w:ascii="Times New Roman" w:hAnsi="Times New Roman" w:cs="Times New Roman"/>
          <w:sz w:val="24"/>
          <w:szCs w:val="24"/>
        </w:rPr>
        <w:t xml:space="preserve"> пациентов в группе </w:t>
      </w:r>
      <w:r w:rsidR="00293D0A" w:rsidRPr="0044342F">
        <w:rPr>
          <w:rFonts w:ascii="Times New Roman" w:hAnsi="Times New Roman" w:cs="Times New Roman"/>
          <w:sz w:val="24"/>
          <w:szCs w:val="24"/>
        </w:rPr>
        <w:t xml:space="preserve">2 </w:t>
      </w:r>
      <w:r w:rsidR="003472D8">
        <w:rPr>
          <w:rFonts w:ascii="Times New Roman" w:hAnsi="Times New Roman" w:cs="Times New Roman"/>
          <w:sz w:val="24"/>
          <w:szCs w:val="24"/>
        </w:rPr>
        <w:t>наблюдались</w:t>
      </w:r>
      <w:r w:rsidR="00F8424D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D42226">
        <w:rPr>
          <w:rFonts w:ascii="Times New Roman" w:hAnsi="Times New Roman" w:cs="Times New Roman"/>
          <w:sz w:val="24"/>
          <w:szCs w:val="24"/>
        </w:rPr>
        <w:t>НР</w:t>
      </w:r>
      <w:r w:rsidR="00293D0A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556979" w:rsidRPr="0044342F">
        <w:rPr>
          <w:rFonts w:ascii="Times New Roman" w:hAnsi="Times New Roman" w:cs="Times New Roman"/>
          <w:sz w:val="24"/>
          <w:szCs w:val="24"/>
        </w:rPr>
        <w:t xml:space="preserve">средней степени тяжести </w:t>
      </w:r>
      <w:r w:rsidR="00F8424D" w:rsidRPr="0044342F">
        <w:rPr>
          <w:rFonts w:ascii="Times New Roman" w:hAnsi="Times New Roman" w:cs="Times New Roman"/>
          <w:sz w:val="24"/>
          <w:szCs w:val="24"/>
        </w:rPr>
        <w:t>в виде послабления стула</w:t>
      </w:r>
      <w:r w:rsidR="00AE298A" w:rsidRPr="0044342F">
        <w:rPr>
          <w:rFonts w:ascii="Times New Roman" w:hAnsi="Times New Roman" w:cs="Times New Roman"/>
          <w:sz w:val="24"/>
          <w:szCs w:val="24"/>
        </w:rPr>
        <w:t xml:space="preserve"> (диареи)</w:t>
      </w:r>
      <w:r w:rsidR="003F2420" w:rsidRPr="0044342F">
        <w:rPr>
          <w:rFonts w:ascii="Times New Roman" w:hAnsi="Times New Roman" w:cs="Times New Roman"/>
          <w:sz w:val="24"/>
          <w:szCs w:val="24"/>
        </w:rPr>
        <w:t>, вероятно</w:t>
      </w:r>
      <w:r w:rsidR="003472D8">
        <w:rPr>
          <w:rFonts w:ascii="Times New Roman" w:hAnsi="Times New Roman" w:cs="Times New Roman"/>
          <w:sz w:val="24"/>
          <w:szCs w:val="24"/>
        </w:rPr>
        <w:t>,</w:t>
      </w:r>
      <w:r w:rsidR="003F2420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3472D8">
        <w:rPr>
          <w:rFonts w:ascii="Times New Roman" w:hAnsi="Times New Roman" w:cs="Times New Roman"/>
          <w:sz w:val="24"/>
          <w:szCs w:val="24"/>
        </w:rPr>
        <w:t>связанные</w:t>
      </w:r>
      <w:r w:rsidR="003F2420" w:rsidRPr="0044342F">
        <w:rPr>
          <w:rFonts w:ascii="Times New Roman" w:hAnsi="Times New Roman" w:cs="Times New Roman"/>
          <w:sz w:val="24"/>
          <w:szCs w:val="24"/>
        </w:rPr>
        <w:t xml:space="preserve"> с приемом исследуемого препарата, но </w:t>
      </w:r>
      <w:r w:rsidR="00293D0A" w:rsidRPr="0044342F">
        <w:rPr>
          <w:rFonts w:ascii="Times New Roman" w:hAnsi="Times New Roman" w:cs="Times New Roman"/>
          <w:sz w:val="24"/>
          <w:szCs w:val="24"/>
        </w:rPr>
        <w:t xml:space="preserve">не потребовавшее </w:t>
      </w:r>
      <w:r w:rsidR="003F2420" w:rsidRPr="0044342F">
        <w:rPr>
          <w:rFonts w:ascii="Times New Roman" w:hAnsi="Times New Roman" w:cs="Times New Roman"/>
          <w:sz w:val="24"/>
          <w:szCs w:val="24"/>
        </w:rPr>
        <w:t>отмены терапии.</w:t>
      </w:r>
      <w:r w:rsidR="00AE298A" w:rsidRPr="00443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3CD71" w14:textId="361ACCB1" w:rsidR="003F2420" w:rsidRDefault="005A1131" w:rsidP="005A11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за весь период наблюдения в</w:t>
      </w:r>
      <w:r w:rsidR="003F2420" w:rsidRPr="0044342F">
        <w:rPr>
          <w:rFonts w:ascii="Times New Roman" w:hAnsi="Times New Roman" w:cs="Times New Roman"/>
          <w:sz w:val="24"/>
          <w:szCs w:val="24"/>
        </w:rPr>
        <w:t xml:space="preserve"> первой группе пациентов</w:t>
      </w:r>
      <w:r w:rsidR="00A21C24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D42226">
        <w:rPr>
          <w:rFonts w:ascii="Times New Roman" w:hAnsi="Times New Roman" w:cs="Times New Roman"/>
          <w:sz w:val="24"/>
          <w:szCs w:val="24"/>
        </w:rPr>
        <w:t>НР</w:t>
      </w:r>
      <w:r w:rsidR="00293D0A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3F2420" w:rsidRPr="0044342F">
        <w:rPr>
          <w:rFonts w:ascii="Times New Roman" w:hAnsi="Times New Roman" w:cs="Times New Roman"/>
          <w:sz w:val="24"/>
          <w:szCs w:val="24"/>
        </w:rPr>
        <w:t>были только в виде послабления стула (диареи</w:t>
      </w:r>
      <w:r w:rsidR="003472D8" w:rsidRPr="003472D8">
        <w:rPr>
          <w:rFonts w:ascii="Times New Roman" w:hAnsi="Times New Roman" w:cs="Times New Roman"/>
          <w:sz w:val="24"/>
          <w:szCs w:val="24"/>
        </w:rPr>
        <w:t xml:space="preserve"> </w:t>
      </w:r>
      <w:r w:rsidR="003472D8" w:rsidRPr="0044342F">
        <w:rPr>
          <w:rFonts w:ascii="Times New Roman" w:hAnsi="Times New Roman" w:cs="Times New Roman"/>
          <w:sz w:val="24"/>
          <w:szCs w:val="24"/>
        </w:rPr>
        <w:t>до 5-6 раз в сутки</w:t>
      </w:r>
      <w:r w:rsidR="003F2420" w:rsidRPr="0044342F">
        <w:rPr>
          <w:rFonts w:ascii="Times New Roman" w:hAnsi="Times New Roman" w:cs="Times New Roman"/>
          <w:sz w:val="24"/>
          <w:szCs w:val="24"/>
        </w:rPr>
        <w:t xml:space="preserve">) у </w:t>
      </w:r>
      <w:r w:rsidR="003472D8">
        <w:rPr>
          <w:rFonts w:ascii="Times New Roman" w:hAnsi="Times New Roman" w:cs="Times New Roman"/>
          <w:sz w:val="24"/>
          <w:szCs w:val="24"/>
        </w:rPr>
        <w:t>3</w:t>
      </w:r>
      <w:r w:rsidR="003F2420" w:rsidRPr="0044342F">
        <w:rPr>
          <w:rFonts w:ascii="Times New Roman" w:hAnsi="Times New Roman" w:cs="Times New Roman"/>
          <w:sz w:val="24"/>
          <w:szCs w:val="24"/>
        </w:rPr>
        <w:t xml:space="preserve"> пациентов</w:t>
      </w:r>
      <w:r w:rsidR="00081E0E" w:rsidRPr="0044342F">
        <w:rPr>
          <w:rFonts w:ascii="Times New Roman" w:hAnsi="Times New Roman" w:cs="Times New Roman"/>
          <w:sz w:val="24"/>
          <w:szCs w:val="24"/>
        </w:rPr>
        <w:t xml:space="preserve"> (10%)</w:t>
      </w:r>
      <w:r w:rsidR="003F2420" w:rsidRPr="0044342F">
        <w:rPr>
          <w:rFonts w:ascii="Times New Roman" w:hAnsi="Times New Roman" w:cs="Times New Roman"/>
          <w:sz w:val="24"/>
          <w:szCs w:val="24"/>
        </w:rPr>
        <w:t xml:space="preserve">. У </w:t>
      </w:r>
      <w:r w:rsidR="003472D8">
        <w:rPr>
          <w:rFonts w:ascii="Times New Roman" w:hAnsi="Times New Roman" w:cs="Times New Roman"/>
          <w:sz w:val="24"/>
          <w:szCs w:val="24"/>
        </w:rPr>
        <w:t>1</w:t>
      </w:r>
      <w:r w:rsidR="003F2420" w:rsidRPr="0044342F">
        <w:rPr>
          <w:rFonts w:ascii="Times New Roman" w:hAnsi="Times New Roman" w:cs="Times New Roman"/>
          <w:sz w:val="24"/>
          <w:szCs w:val="24"/>
        </w:rPr>
        <w:t xml:space="preserve"> пациента диарея легкой степени возникла с первого дня приема препарата, у второго и третьего пациента</w:t>
      </w:r>
      <w:r w:rsidR="003472D8">
        <w:rPr>
          <w:rFonts w:ascii="Times New Roman" w:hAnsi="Times New Roman" w:cs="Times New Roman"/>
          <w:sz w:val="24"/>
          <w:szCs w:val="24"/>
        </w:rPr>
        <w:t>,</w:t>
      </w:r>
      <w:r w:rsidR="003F2420" w:rsidRPr="0044342F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3472D8">
        <w:rPr>
          <w:rFonts w:ascii="Times New Roman" w:hAnsi="Times New Roman" w:cs="Times New Roman"/>
          <w:sz w:val="24"/>
          <w:szCs w:val="24"/>
        </w:rPr>
        <w:t>,</w:t>
      </w:r>
      <w:r w:rsidR="003F2420" w:rsidRPr="0044342F">
        <w:rPr>
          <w:rFonts w:ascii="Times New Roman" w:hAnsi="Times New Roman" w:cs="Times New Roman"/>
          <w:sz w:val="24"/>
          <w:szCs w:val="24"/>
        </w:rPr>
        <w:t xml:space="preserve"> на пятый и восьмой день приема препарата. Во второй группе пациентов </w:t>
      </w:r>
      <w:r w:rsidR="00D42226">
        <w:rPr>
          <w:rFonts w:ascii="Times New Roman" w:hAnsi="Times New Roman" w:cs="Times New Roman"/>
          <w:sz w:val="24"/>
          <w:szCs w:val="24"/>
        </w:rPr>
        <w:t>НР</w:t>
      </w:r>
      <w:r w:rsidR="00293D0A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081E0E" w:rsidRPr="0044342F">
        <w:rPr>
          <w:rFonts w:ascii="Times New Roman" w:hAnsi="Times New Roman" w:cs="Times New Roman"/>
          <w:sz w:val="24"/>
          <w:szCs w:val="24"/>
        </w:rPr>
        <w:t>в виде диареи наблюдались у 6 (20%) пациентов</w:t>
      </w:r>
      <w:r w:rsidR="00A54F6A" w:rsidRPr="0044342F">
        <w:rPr>
          <w:rFonts w:ascii="Times New Roman" w:hAnsi="Times New Roman" w:cs="Times New Roman"/>
          <w:sz w:val="24"/>
          <w:szCs w:val="24"/>
        </w:rPr>
        <w:t xml:space="preserve">, у 4 (13%) </w:t>
      </w:r>
      <w:r w:rsidR="002A1EED" w:rsidRPr="0044342F">
        <w:rPr>
          <w:rFonts w:ascii="Times New Roman" w:hAnsi="Times New Roman" w:cs="Times New Roman"/>
          <w:sz w:val="24"/>
          <w:szCs w:val="24"/>
        </w:rPr>
        <w:t xml:space="preserve">пациентов </w:t>
      </w:r>
      <w:r w:rsidR="00293D0A" w:rsidRPr="0044342F">
        <w:rPr>
          <w:rFonts w:ascii="Times New Roman" w:hAnsi="Times New Roman" w:cs="Times New Roman"/>
          <w:sz w:val="24"/>
          <w:szCs w:val="24"/>
        </w:rPr>
        <w:t xml:space="preserve">отмечалась </w:t>
      </w:r>
      <w:r w:rsidR="00A54F6A" w:rsidRPr="0044342F">
        <w:rPr>
          <w:rFonts w:ascii="Times New Roman" w:hAnsi="Times New Roman" w:cs="Times New Roman"/>
          <w:sz w:val="24"/>
          <w:szCs w:val="24"/>
        </w:rPr>
        <w:t xml:space="preserve">кожная реакция </w:t>
      </w:r>
      <w:r w:rsidR="009D1FFC" w:rsidRPr="0044342F">
        <w:rPr>
          <w:rFonts w:ascii="Times New Roman" w:hAnsi="Times New Roman" w:cs="Times New Roman"/>
          <w:sz w:val="24"/>
          <w:szCs w:val="24"/>
        </w:rPr>
        <w:t xml:space="preserve">легкой степени </w:t>
      </w:r>
      <w:r w:rsidR="00A54F6A" w:rsidRPr="0044342F">
        <w:rPr>
          <w:rFonts w:ascii="Times New Roman" w:hAnsi="Times New Roman" w:cs="Times New Roman"/>
          <w:sz w:val="24"/>
          <w:szCs w:val="24"/>
        </w:rPr>
        <w:t xml:space="preserve">по типу крапивницы, при этом </w:t>
      </w:r>
      <w:r>
        <w:rPr>
          <w:rFonts w:ascii="Times New Roman" w:hAnsi="Times New Roman" w:cs="Times New Roman"/>
          <w:sz w:val="24"/>
          <w:szCs w:val="24"/>
        </w:rPr>
        <w:t>2 пациентов</w:t>
      </w:r>
      <w:r w:rsidR="00A54F6A" w:rsidRPr="0044342F">
        <w:rPr>
          <w:rFonts w:ascii="Times New Roman" w:hAnsi="Times New Roman" w:cs="Times New Roman"/>
          <w:sz w:val="24"/>
          <w:szCs w:val="24"/>
        </w:rPr>
        <w:t xml:space="preserve"> расценили данную реакцию как </w:t>
      </w:r>
      <w:r>
        <w:rPr>
          <w:rFonts w:ascii="Times New Roman" w:hAnsi="Times New Roman" w:cs="Times New Roman"/>
          <w:sz w:val="24"/>
          <w:szCs w:val="24"/>
        </w:rPr>
        <w:t>аллергическую</w:t>
      </w:r>
      <w:r w:rsidR="00A54F6A" w:rsidRPr="0044342F">
        <w:rPr>
          <w:rFonts w:ascii="Times New Roman" w:hAnsi="Times New Roman" w:cs="Times New Roman"/>
          <w:sz w:val="24"/>
          <w:szCs w:val="24"/>
        </w:rPr>
        <w:t>. Никто из пациентов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F6A" w:rsidRPr="0044342F">
        <w:rPr>
          <w:rFonts w:ascii="Times New Roman" w:hAnsi="Times New Roman" w:cs="Times New Roman"/>
          <w:sz w:val="24"/>
          <w:szCs w:val="24"/>
        </w:rPr>
        <w:t>не прекратил прием антибактериального препарата</w:t>
      </w:r>
      <w:r w:rsidRPr="005A1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дополнительно </w:t>
      </w:r>
      <w:r w:rsidRPr="0044342F">
        <w:rPr>
          <w:rFonts w:ascii="Times New Roman" w:hAnsi="Times New Roman" w:cs="Times New Roman"/>
          <w:sz w:val="24"/>
          <w:szCs w:val="24"/>
        </w:rPr>
        <w:t xml:space="preserve">не принимал антигистаминные </w:t>
      </w:r>
      <w:r>
        <w:rPr>
          <w:rFonts w:ascii="Times New Roman" w:hAnsi="Times New Roman" w:cs="Times New Roman"/>
          <w:sz w:val="24"/>
          <w:szCs w:val="24"/>
        </w:rPr>
        <w:t>препараты.</w:t>
      </w:r>
      <w:r w:rsidR="00A54F6A" w:rsidRPr="0044342F">
        <w:rPr>
          <w:rFonts w:ascii="Times New Roman" w:hAnsi="Times New Roman" w:cs="Times New Roman"/>
          <w:sz w:val="24"/>
          <w:szCs w:val="24"/>
        </w:rPr>
        <w:t xml:space="preserve">  </w:t>
      </w:r>
      <w:r w:rsidR="00032A77" w:rsidRPr="0044342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группе 1</w:t>
      </w:r>
      <w:r w:rsidR="00032A77" w:rsidRPr="0044342F">
        <w:rPr>
          <w:rFonts w:ascii="Times New Roman" w:hAnsi="Times New Roman" w:cs="Times New Roman"/>
          <w:sz w:val="24"/>
          <w:szCs w:val="24"/>
        </w:rPr>
        <w:t xml:space="preserve"> кожных реакций, в том числе в виде крапивницы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2A77" w:rsidRPr="0044342F">
        <w:rPr>
          <w:rFonts w:ascii="Times New Roman" w:hAnsi="Times New Roman" w:cs="Times New Roman"/>
          <w:sz w:val="24"/>
          <w:szCs w:val="24"/>
        </w:rPr>
        <w:t xml:space="preserve"> во время приема </w:t>
      </w:r>
      <w:r>
        <w:rPr>
          <w:rFonts w:ascii="Times New Roman" w:hAnsi="Times New Roman" w:cs="Times New Roman"/>
          <w:sz w:val="24"/>
          <w:szCs w:val="24"/>
        </w:rPr>
        <w:t xml:space="preserve">АБП </w:t>
      </w:r>
      <w:r w:rsidR="00032A77" w:rsidRPr="0044342F">
        <w:rPr>
          <w:rFonts w:ascii="Times New Roman" w:hAnsi="Times New Roman" w:cs="Times New Roman"/>
          <w:sz w:val="24"/>
          <w:szCs w:val="24"/>
        </w:rPr>
        <w:t>не наблюдалось</w:t>
      </w:r>
      <w:r w:rsidR="00E233E6" w:rsidRPr="0044342F">
        <w:rPr>
          <w:rFonts w:ascii="Times New Roman" w:hAnsi="Times New Roman" w:cs="Times New Roman"/>
          <w:sz w:val="24"/>
          <w:szCs w:val="24"/>
        </w:rPr>
        <w:t xml:space="preserve"> (рис</w:t>
      </w:r>
      <w:r w:rsidR="00032A77" w:rsidRPr="0044342F">
        <w:rPr>
          <w:rFonts w:ascii="Times New Roman" w:hAnsi="Times New Roman" w:cs="Times New Roman"/>
          <w:sz w:val="24"/>
          <w:szCs w:val="24"/>
        </w:rPr>
        <w:t>.</w:t>
      </w:r>
      <w:r w:rsidR="00E233E6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817138">
        <w:rPr>
          <w:rFonts w:ascii="Times New Roman" w:hAnsi="Times New Roman" w:cs="Times New Roman"/>
          <w:sz w:val="24"/>
          <w:szCs w:val="24"/>
        </w:rPr>
        <w:t>4</w:t>
      </w:r>
      <w:r w:rsidR="00E233E6" w:rsidRPr="004434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5A6E5D" w14:textId="47B2BF24" w:rsidR="005A1131" w:rsidRPr="005A1131" w:rsidRDefault="005A1131" w:rsidP="005A11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131">
        <w:rPr>
          <w:rFonts w:ascii="Times New Roman" w:hAnsi="Times New Roman" w:cs="Times New Roman"/>
          <w:b/>
          <w:sz w:val="24"/>
          <w:szCs w:val="24"/>
        </w:rPr>
        <w:t xml:space="preserve">Рисунок 4. </w:t>
      </w:r>
      <w:r w:rsidR="00D42226">
        <w:rPr>
          <w:rFonts w:ascii="Times New Roman" w:hAnsi="Times New Roman" w:cs="Times New Roman"/>
          <w:b/>
          <w:sz w:val="24"/>
          <w:szCs w:val="24"/>
        </w:rPr>
        <w:t>Распределение НР</w:t>
      </w:r>
      <w:r>
        <w:rPr>
          <w:rFonts w:ascii="Times New Roman" w:hAnsi="Times New Roman" w:cs="Times New Roman"/>
          <w:b/>
          <w:sz w:val="24"/>
          <w:szCs w:val="24"/>
        </w:rPr>
        <w:t xml:space="preserve"> в группах пациентов</w:t>
      </w:r>
      <w:r w:rsidRPr="005A1131">
        <w:rPr>
          <w:rFonts w:ascii="Times New Roman" w:hAnsi="Times New Roman" w:cs="Times New Roman"/>
          <w:b/>
          <w:sz w:val="24"/>
          <w:szCs w:val="24"/>
        </w:rPr>
        <w:t xml:space="preserve"> по типам на 3-й и 10-й 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терапии (Визиты 2 и 3)</w:t>
      </w:r>
    </w:p>
    <w:p w14:paraId="6A04FC92" w14:textId="77777777" w:rsidR="005A1131" w:rsidRPr="0044342F" w:rsidRDefault="005A1131" w:rsidP="005A11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DBF8D7" w14:textId="1EDE028B" w:rsidR="00773556" w:rsidRPr="0044342F" w:rsidRDefault="007735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42F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3F2CC6C" wp14:editId="274ABD85">
            <wp:extent cx="5940425" cy="3279775"/>
            <wp:effectExtent l="0" t="0" r="3175" b="0"/>
            <wp:docPr id="318466586" name="Picture 4" descr="A graph of different sizes and colo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66586" name="Picture 4" descr="A graph of different sizes and colo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ED91B" w14:textId="77777777" w:rsidR="00AB636A" w:rsidRDefault="00AB63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1DE9FC" w14:textId="01C9A770" w:rsidR="00293D0A" w:rsidRPr="0044342F" w:rsidRDefault="005A11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Различия</w:t>
      </w:r>
      <w:r w:rsidR="006F61A1" w:rsidRPr="0044342F">
        <w:rPr>
          <w:rFonts w:ascii="Times New Roman" w:hAnsi="Times New Roman" w:cs="Times New Roman"/>
          <w:sz w:val="24"/>
          <w:szCs w:val="24"/>
        </w:rPr>
        <w:t xml:space="preserve"> в частоте </w:t>
      </w:r>
      <w:r w:rsidR="00D42226">
        <w:rPr>
          <w:rFonts w:ascii="Times New Roman" w:hAnsi="Times New Roman" w:cs="Times New Roman"/>
          <w:sz w:val="24"/>
          <w:szCs w:val="24"/>
        </w:rPr>
        <w:t>НР</w:t>
      </w:r>
      <w:r w:rsidR="006F61A1" w:rsidRPr="0044342F">
        <w:rPr>
          <w:rFonts w:ascii="Times New Roman" w:hAnsi="Times New Roman" w:cs="Times New Roman"/>
          <w:sz w:val="24"/>
          <w:szCs w:val="24"/>
        </w:rPr>
        <w:t xml:space="preserve"> в группах сравнения</w:t>
      </w:r>
      <w:r>
        <w:rPr>
          <w:rFonts w:ascii="Times New Roman" w:hAnsi="Times New Roman" w:cs="Times New Roman"/>
          <w:sz w:val="24"/>
          <w:szCs w:val="24"/>
        </w:rPr>
        <w:t xml:space="preserve"> могут быть</w:t>
      </w:r>
      <w:r w:rsidR="006F61A1" w:rsidRPr="0044342F">
        <w:rPr>
          <w:rFonts w:ascii="Times New Roman" w:hAnsi="Times New Roman" w:cs="Times New Roman"/>
          <w:sz w:val="24"/>
          <w:szCs w:val="24"/>
        </w:rPr>
        <w:t xml:space="preserve"> связаны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A1" w:rsidRPr="0044342F">
        <w:rPr>
          <w:rFonts w:ascii="Times New Roman" w:hAnsi="Times New Roman" w:cs="Times New Roman"/>
          <w:sz w:val="24"/>
          <w:szCs w:val="24"/>
        </w:rPr>
        <w:t xml:space="preserve">с лекарственной формой </w:t>
      </w:r>
      <w:r>
        <w:rPr>
          <w:rFonts w:ascii="Times New Roman" w:hAnsi="Times New Roman" w:cs="Times New Roman"/>
          <w:sz w:val="24"/>
          <w:szCs w:val="24"/>
        </w:rPr>
        <w:t>АБП</w:t>
      </w:r>
      <w:r w:rsidR="006F61A1" w:rsidRPr="004434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Для действующего вещества амоксициллин + клавулановая кислота </w:t>
      </w:r>
      <w:r w:rsidR="00522B84">
        <w:rPr>
          <w:rFonts w:ascii="Times New Roman" w:hAnsi="Times New Roman" w:cs="Times New Roman"/>
          <w:sz w:val="24"/>
          <w:szCs w:val="24"/>
        </w:rPr>
        <w:t xml:space="preserve">характерны такие НР, как диарея, кандидоз, сыпь </w:t>
      </w:r>
      <w:r w:rsidR="00522B84" w:rsidRPr="00522B84">
        <w:rPr>
          <w:rFonts w:ascii="Times New Roman" w:hAnsi="Times New Roman" w:cs="Times New Roman"/>
          <w:sz w:val="24"/>
          <w:szCs w:val="24"/>
        </w:rPr>
        <w:t>[21, 22]</w:t>
      </w:r>
      <w:r w:rsidR="00522B84">
        <w:rPr>
          <w:rFonts w:ascii="Times New Roman" w:hAnsi="Times New Roman" w:cs="Times New Roman"/>
          <w:sz w:val="24"/>
          <w:szCs w:val="24"/>
        </w:rPr>
        <w:t xml:space="preserve">. В связи с этим диспергируемая форма препарата является перспективным вариантом терапии, так как </w:t>
      </w:r>
      <w:r w:rsidR="006F61A1" w:rsidRPr="0044342F">
        <w:rPr>
          <w:rFonts w:ascii="Times New Roman" w:hAnsi="Times New Roman" w:cs="Times New Roman"/>
          <w:sz w:val="24"/>
          <w:szCs w:val="24"/>
        </w:rPr>
        <w:t xml:space="preserve">способствует быстрому и максимальному всасыванию действующего вещества в верхних отделах тонкого кишечника, что обеспечивает более высокие и стабильные концентрации в крови, и минимизирует воздействие на микрофлору кишечника, снижая количество </w:t>
      </w:r>
      <w:r w:rsidR="00522B84">
        <w:rPr>
          <w:rFonts w:ascii="Times New Roman" w:hAnsi="Times New Roman" w:cs="Times New Roman"/>
          <w:sz w:val="24"/>
          <w:szCs w:val="24"/>
        </w:rPr>
        <w:t>НР</w:t>
      </w:r>
      <w:r w:rsidR="006F61A1" w:rsidRPr="0044342F">
        <w:rPr>
          <w:rFonts w:ascii="Times New Roman" w:hAnsi="Times New Roman" w:cs="Times New Roman"/>
          <w:sz w:val="24"/>
          <w:szCs w:val="24"/>
        </w:rPr>
        <w:t xml:space="preserve"> [</w:t>
      </w:r>
      <w:r w:rsidR="00A737B9">
        <w:rPr>
          <w:rFonts w:ascii="Times New Roman" w:hAnsi="Times New Roman" w:cs="Times New Roman"/>
          <w:sz w:val="24"/>
          <w:szCs w:val="24"/>
        </w:rPr>
        <w:t>7</w:t>
      </w:r>
      <w:r w:rsidR="006F61A1" w:rsidRPr="0044342F">
        <w:rPr>
          <w:rFonts w:ascii="Times New Roman" w:hAnsi="Times New Roman" w:cs="Times New Roman"/>
          <w:sz w:val="24"/>
          <w:szCs w:val="24"/>
        </w:rPr>
        <w:t>].</w:t>
      </w:r>
    </w:p>
    <w:p w14:paraId="2430F290" w14:textId="77777777" w:rsidR="000B2468" w:rsidRPr="0044342F" w:rsidRDefault="000B24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D5A94E" w14:textId="42AF62AB" w:rsidR="00293D0A" w:rsidRPr="0044342F" w:rsidRDefault="00620FD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42F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5D690366" w14:textId="005B9E40" w:rsidR="00620FD8" w:rsidRPr="0044342F" w:rsidRDefault="002077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ОТФ</w:t>
      </w:r>
      <w:r w:rsidR="00620FD8" w:rsidRPr="0044342F">
        <w:rPr>
          <w:rFonts w:ascii="Times New Roman" w:hAnsi="Times New Roman" w:cs="Times New Roman"/>
          <w:sz w:val="24"/>
          <w:szCs w:val="24"/>
        </w:rPr>
        <w:t xml:space="preserve"> является распространенной патологией в клинической практике, оказывающей значительное влияние на самочувствие и повседневную жизнедеятельность пациентов. Более того, </w:t>
      </w:r>
      <w:r>
        <w:rPr>
          <w:rFonts w:ascii="Times New Roman" w:hAnsi="Times New Roman" w:cs="Times New Roman"/>
          <w:sz w:val="24"/>
          <w:szCs w:val="24"/>
        </w:rPr>
        <w:t>ОТФ</w:t>
      </w:r>
      <w:r w:rsidR="0005277C" w:rsidRPr="0044342F">
        <w:rPr>
          <w:rFonts w:ascii="Times New Roman" w:hAnsi="Times New Roman" w:cs="Times New Roman"/>
          <w:sz w:val="24"/>
          <w:szCs w:val="24"/>
        </w:rPr>
        <w:t xml:space="preserve"> опасен возникновением осложнений, которые могут привести не только к инвалидности пациента, но и к летальному исходу</w:t>
      </w:r>
      <w:r w:rsidR="00620FD8" w:rsidRPr="0044342F">
        <w:rPr>
          <w:rFonts w:ascii="Times New Roman" w:hAnsi="Times New Roman" w:cs="Times New Roman"/>
          <w:sz w:val="24"/>
          <w:szCs w:val="24"/>
        </w:rPr>
        <w:t xml:space="preserve">. </w:t>
      </w:r>
      <w:r w:rsidR="005A1131">
        <w:rPr>
          <w:rFonts w:ascii="Times New Roman" w:hAnsi="Times New Roman" w:cs="Times New Roman"/>
          <w:sz w:val="24"/>
          <w:szCs w:val="24"/>
        </w:rPr>
        <w:t>Выбор</w:t>
      </w:r>
      <w:r w:rsidR="00936857"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="005A1131">
        <w:rPr>
          <w:rFonts w:ascii="Times New Roman" w:hAnsi="Times New Roman" w:cs="Times New Roman"/>
          <w:sz w:val="24"/>
          <w:szCs w:val="24"/>
        </w:rPr>
        <w:t>АБП</w:t>
      </w:r>
      <w:r w:rsidR="00936857" w:rsidRPr="0044342F">
        <w:rPr>
          <w:rFonts w:ascii="Times New Roman" w:hAnsi="Times New Roman" w:cs="Times New Roman"/>
          <w:sz w:val="24"/>
          <w:szCs w:val="24"/>
        </w:rPr>
        <w:t xml:space="preserve"> обусловлен чувствительностью </w:t>
      </w:r>
      <w:r w:rsidR="00143C1C" w:rsidRPr="0044342F">
        <w:rPr>
          <w:rFonts w:ascii="Times New Roman" w:hAnsi="Times New Roman" w:cs="Times New Roman"/>
          <w:sz w:val="24"/>
          <w:szCs w:val="24"/>
        </w:rPr>
        <w:t>возбудителя</w:t>
      </w:r>
      <w:r w:rsidR="00936857" w:rsidRPr="0044342F">
        <w:rPr>
          <w:rFonts w:ascii="Times New Roman" w:hAnsi="Times New Roman" w:cs="Times New Roman"/>
          <w:sz w:val="24"/>
          <w:szCs w:val="24"/>
        </w:rPr>
        <w:t xml:space="preserve">, </w:t>
      </w:r>
      <w:r w:rsidR="00C11904">
        <w:rPr>
          <w:rFonts w:ascii="Times New Roman" w:hAnsi="Times New Roman" w:cs="Times New Roman"/>
          <w:sz w:val="24"/>
          <w:szCs w:val="24"/>
        </w:rPr>
        <w:t>скоростью наступления эффекта</w:t>
      </w:r>
      <w:r w:rsidR="00620FD8" w:rsidRPr="0044342F">
        <w:rPr>
          <w:rFonts w:ascii="Times New Roman" w:hAnsi="Times New Roman" w:cs="Times New Roman"/>
          <w:sz w:val="24"/>
          <w:szCs w:val="24"/>
        </w:rPr>
        <w:t>, благоприятным фармакокинетическим профилем, прежде всего</w:t>
      </w:r>
      <w:r w:rsidR="00C11904">
        <w:rPr>
          <w:rFonts w:ascii="Times New Roman" w:hAnsi="Times New Roman" w:cs="Times New Roman"/>
          <w:sz w:val="24"/>
          <w:szCs w:val="24"/>
        </w:rPr>
        <w:t>,</w:t>
      </w:r>
      <w:r w:rsidR="00936857" w:rsidRPr="0044342F">
        <w:rPr>
          <w:rFonts w:ascii="Times New Roman" w:hAnsi="Times New Roman" w:cs="Times New Roman"/>
          <w:sz w:val="24"/>
          <w:szCs w:val="24"/>
        </w:rPr>
        <w:t xml:space="preserve"> для тканевого распределения, </w:t>
      </w:r>
      <w:r w:rsidR="00C1190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620FD8" w:rsidRPr="0044342F">
        <w:rPr>
          <w:rFonts w:ascii="Times New Roman" w:hAnsi="Times New Roman" w:cs="Times New Roman"/>
          <w:sz w:val="24"/>
          <w:szCs w:val="24"/>
        </w:rPr>
        <w:t>безопасностью</w:t>
      </w:r>
      <w:r w:rsidR="00936857" w:rsidRPr="0044342F">
        <w:rPr>
          <w:rFonts w:ascii="Times New Roman" w:hAnsi="Times New Roman" w:cs="Times New Roman"/>
          <w:sz w:val="24"/>
          <w:szCs w:val="24"/>
        </w:rPr>
        <w:t xml:space="preserve"> и удобством применения</w:t>
      </w:r>
      <w:r w:rsidR="00620FD8" w:rsidRPr="0044342F">
        <w:rPr>
          <w:rFonts w:ascii="Times New Roman" w:hAnsi="Times New Roman" w:cs="Times New Roman"/>
          <w:sz w:val="24"/>
          <w:szCs w:val="24"/>
        </w:rPr>
        <w:t>.</w:t>
      </w:r>
      <w:r w:rsidR="00C11904">
        <w:rPr>
          <w:rFonts w:ascii="Times New Roman" w:hAnsi="Times New Roman" w:cs="Times New Roman"/>
          <w:sz w:val="24"/>
          <w:szCs w:val="24"/>
        </w:rPr>
        <w:t xml:space="preserve"> Амоксициллин</w:t>
      </w:r>
      <w:r w:rsidR="00C11904" w:rsidRPr="00C61089">
        <w:rPr>
          <w:rFonts w:ascii="Times New Roman" w:hAnsi="Times New Roman" w:cs="Times New Roman"/>
          <w:sz w:val="24"/>
          <w:szCs w:val="24"/>
        </w:rPr>
        <w:t xml:space="preserve"> с клавулановой кислотой</w:t>
      </w:r>
      <w:r w:rsidR="00C11904">
        <w:rPr>
          <w:rFonts w:ascii="Times New Roman" w:hAnsi="Times New Roman" w:cs="Times New Roman"/>
          <w:sz w:val="24"/>
          <w:szCs w:val="24"/>
        </w:rPr>
        <w:t xml:space="preserve"> является эффективным антибиотиком пенициллинового ряда для лечения острых и рецидивирующих форм ОТФ.</w:t>
      </w:r>
    </w:p>
    <w:p w14:paraId="1A22FD2A" w14:textId="77777777" w:rsidR="00C11904" w:rsidRDefault="00C119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проведенного исследования по сравнению</w:t>
      </w:r>
      <w:r w:rsidR="000F506A" w:rsidRPr="00443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эффективности</w:t>
      </w:r>
      <w:r w:rsidR="000F506A" w:rsidRPr="0044342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 w:rsidR="000F506A" w:rsidRPr="0044342F">
        <w:rPr>
          <w:rFonts w:ascii="Times New Roman" w:hAnsi="Times New Roman" w:cs="Times New Roman"/>
          <w:sz w:val="24"/>
          <w:szCs w:val="24"/>
        </w:rPr>
        <w:t xml:space="preserve"> Амоксициллина + Клавулановой кислоты ЭКСПРЕСС в форме </w:t>
      </w:r>
      <w:r w:rsidR="000F506A" w:rsidRPr="0044342F">
        <w:rPr>
          <w:rFonts w:ascii="Times New Roman" w:hAnsi="Times New Roman" w:cs="Times New Roman"/>
          <w:sz w:val="24"/>
          <w:szCs w:val="24"/>
        </w:rPr>
        <w:lastRenderedPageBreak/>
        <w:t xml:space="preserve">диспергируемых таблеток и амоксициллина с клавулановой кислотой в таблетках, покрытых пленочной оболочкой </w:t>
      </w:r>
      <w:r>
        <w:rPr>
          <w:rFonts w:ascii="Times New Roman" w:hAnsi="Times New Roman" w:cs="Times New Roman"/>
          <w:sz w:val="24"/>
          <w:szCs w:val="24"/>
        </w:rPr>
        <w:t>(Амоксиклав) позволяют сделать следующие выводы:</w:t>
      </w:r>
    </w:p>
    <w:p w14:paraId="5081F8E4" w14:textId="19478F96" w:rsidR="00167D95" w:rsidRPr="00C11904" w:rsidRDefault="00522B84" w:rsidP="00C1190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904">
        <w:rPr>
          <w:rFonts w:ascii="Times New Roman" w:hAnsi="Times New Roman" w:cs="Times New Roman"/>
          <w:bCs/>
          <w:sz w:val="24"/>
          <w:szCs w:val="24"/>
        </w:rPr>
        <w:t>Амоксициллин + Клавулановая кислота ЭКСПРЕСС</w:t>
      </w:r>
      <w:r w:rsidRPr="00C11904">
        <w:rPr>
          <w:rFonts w:ascii="Times New Roman" w:hAnsi="Times New Roman" w:cs="Times New Roman"/>
          <w:sz w:val="24"/>
          <w:szCs w:val="24"/>
        </w:rPr>
        <w:t xml:space="preserve"> в диспергируемой форме обладает </w:t>
      </w:r>
      <w:r w:rsidRPr="00C11904">
        <w:rPr>
          <w:rFonts w:ascii="Times New Roman" w:hAnsi="Times New Roman" w:cs="Times New Roman"/>
          <w:bCs/>
          <w:sz w:val="24"/>
          <w:szCs w:val="24"/>
        </w:rPr>
        <w:t xml:space="preserve">высокой эффективностью </w:t>
      </w:r>
      <w:r w:rsidRPr="00C11904">
        <w:rPr>
          <w:rFonts w:ascii="Times New Roman" w:hAnsi="Times New Roman" w:cs="Times New Roman"/>
          <w:sz w:val="24"/>
          <w:szCs w:val="24"/>
        </w:rPr>
        <w:t xml:space="preserve">в лечении </w:t>
      </w:r>
      <w:r w:rsidR="00C11904" w:rsidRPr="00C11904">
        <w:rPr>
          <w:rFonts w:ascii="Times New Roman" w:hAnsi="Times New Roman" w:cs="Times New Roman"/>
          <w:sz w:val="24"/>
          <w:szCs w:val="24"/>
        </w:rPr>
        <w:t>ОТФ</w:t>
      </w:r>
      <w:r w:rsidRPr="00C11904">
        <w:rPr>
          <w:rFonts w:ascii="Times New Roman" w:hAnsi="Times New Roman" w:cs="Times New Roman"/>
          <w:sz w:val="24"/>
          <w:szCs w:val="24"/>
        </w:rPr>
        <w:t>, сопоставимой с Амоксиклавом (амоксициллин с клавулановой кислотой) в таблетках, покрытых оболочкой</w:t>
      </w:r>
      <w:r w:rsidR="00C11904">
        <w:rPr>
          <w:rFonts w:ascii="Times New Roman" w:hAnsi="Times New Roman" w:cs="Times New Roman"/>
          <w:sz w:val="24"/>
          <w:szCs w:val="24"/>
        </w:rPr>
        <w:t>;</w:t>
      </w:r>
    </w:p>
    <w:p w14:paraId="25362D4E" w14:textId="695C1DAB" w:rsidR="00167D95" w:rsidRPr="00C11904" w:rsidRDefault="00522B84" w:rsidP="00C1190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904">
        <w:rPr>
          <w:rFonts w:ascii="Times New Roman" w:hAnsi="Times New Roman" w:cs="Times New Roman"/>
          <w:sz w:val="24"/>
          <w:szCs w:val="24"/>
        </w:rPr>
        <w:t xml:space="preserve">Применение препарата </w:t>
      </w:r>
      <w:r w:rsidRPr="00C11904">
        <w:rPr>
          <w:rFonts w:ascii="Times New Roman" w:hAnsi="Times New Roman" w:cs="Times New Roman"/>
          <w:bCs/>
          <w:sz w:val="24"/>
          <w:szCs w:val="24"/>
        </w:rPr>
        <w:t>Амоксициллин + Клавулановая кислота ЭКСПРЕСС</w:t>
      </w:r>
      <w:r w:rsidRPr="00C11904">
        <w:rPr>
          <w:rFonts w:ascii="Times New Roman" w:hAnsi="Times New Roman" w:cs="Times New Roman"/>
          <w:sz w:val="24"/>
          <w:szCs w:val="24"/>
        </w:rPr>
        <w:t xml:space="preserve"> сопровождалось </w:t>
      </w:r>
      <w:r w:rsidRPr="00C11904">
        <w:rPr>
          <w:rFonts w:ascii="Times New Roman" w:hAnsi="Times New Roman" w:cs="Times New Roman"/>
          <w:bCs/>
          <w:sz w:val="24"/>
          <w:szCs w:val="24"/>
        </w:rPr>
        <w:t xml:space="preserve">более быстрым клиническим регрессом </w:t>
      </w:r>
      <w:r w:rsidR="00C11904" w:rsidRPr="00C11904">
        <w:rPr>
          <w:rFonts w:ascii="Times New Roman" w:hAnsi="Times New Roman" w:cs="Times New Roman"/>
          <w:sz w:val="24"/>
          <w:szCs w:val="24"/>
        </w:rPr>
        <w:t xml:space="preserve">в отличие от препарата сравнения </w:t>
      </w:r>
      <w:r w:rsidRPr="00C11904">
        <w:rPr>
          <w:rFonts w:ascii="Times New Roman" w:hAnsi="Times New Roman" w:cs="Times New Roman"/>
          <w:sz w:val="24"/>
          <w:szCs w:val="24"/>
        </w:rPr>
        <w:t>по данным динамики снижения температуры тела</w:t>
      </w:r>
      <w:r w:rsidR="00C11904">
        <w:rPr>
          <w:rFonts w:ascii="Times New Roman" w:hAnsi="Times New Roman" w:cs="Times New Roman"/>
          <w:sz w:val="24"/>
          <w:szCs w:val="24"/>
        </w:rPr>
        <w:t>;</w:t>
      </w:r>
      <w:r w:rsidRPr="00C119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4C116" w14:textId="1A05D786" w:rsidR="00167D95" w:rsidRPr="00C11904" w:rsidRDefault="00522B84" w:rsidP="00C1190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904">
        <w:rPr>
          <w:rFonts w:ascii="Times New Roman" w:hAnsi="Times New Roman" w:cs="Times New Roman"/>
          <w:bCs/>
          <w:sz w:val="24"/>
          <w:szCs w:val="24"/>
        </w:rPr>
        <w:t>Амоксициллин + Клавулановая кислота ЭКСПРЕСС</w:t>
      </w:r>
      <w:r w:rsidRPr="00C11904">
        <w:rPr>
          <w:rFonts w:ascii="Times New Roman" w:hAnsi="Times New Roman" w:cs="Times New Roman"/>
          <w:sz w:val="24"/>
          <w:szCs w:val="24"/>
        </w:rPr>
        <w:t xml:space="preserve"> в диспергируемой форме характеризуется высоким уровнем приверженности пациентов к терапии на всем протяжении приема препарата</w:t>
      </w:r>
      <w:r w:rsidR="00C11904">
        <w:rPr>
          <w:rFonts w:ascii="Times New Roman" w:hAnsi="Times New Roman" w:cs="Times New Roman"/>
          <w:sz w:val="24"/>
          <w:szCs w:val="24"/>
        </w:rPr>
        <w:t>;</w:t>
      </w:r>
    </w:p>
    <w:p w14:paraId="3397DC06" w14:textId="2A68029A" w:rsidR="001C0578" w:rsidRDefault="00522B84" w:rsidP="00C1190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904">
        <w:rPr>
          <w:rFonts w:ascii="Times New Roman" w:hAnsi="Times New Roman" w:cs="Times New Roman"/>
          <w:bCs/>
          <w:sz w:val="24"/>
          <w:szCs w:val="24"/>
        </w:rPr>
        <w:t>Амоксициллин + Клавулановая кислота ЭКСПРЕСС</w:t>
      </w:r>
      <w:r w:rsidRPr="00C11904">
        <w:rPr>
          <w:rFonts w:ascii="Times New Roman" w:hAnsi="Times New Roman" w:cs="Times New Roman"/>
          <w:sz w:val="24"/>
          <w:szCs w:val="24"/>
        </w:rPr>
        <w:t xml:space="preserve"> в диспергируемой форме имеет достоверно более благоприятный профиль безопасности по сравнению с </w:t>
      </w:r>
      <w:r w:rsidR="00C11904">
        <w:rPr>
          <w:rFonts w:ascii="Times New Roman" w:hAnsi="Times New Roman" w:cs="Times New Roman"/>
          <w:sz w:val="24"/>
          <w:szCs w:val="24"/>
        </w:rPr>
        <w:t>препаратом</w:t>
      </w:r>
      <w:r w:rsidRPr="00C11904">
        <w:rPr>
          <w:rFonts w:ascii="Times New Roman" w:hAnsi="Times New Roman" w:cs="Times New Roman"/>
          <w:sz w:val="24"/>
          <w:szCs w:val="24"/>
        </w:rPr>
        <w:t xml:space="preserve"> </w:t>
      </w:r>
      <w:r w:rsidR="00C11904">
        <w:rPr>
          <w:rFonts w:ascii="Times New Roman" w:hAnsi="Times New Roman" w:cs="Times New Roman"/>
          <w:sz w:val="24"/>
          <w:szCs w:val="24"/>
        </w:rPr>
        <w:t>в простой таблетированной форме</w:t>
      </w:r>
      <w:r w:rsidRPr="00C11904">
        <w:rPr>
          <w:rFonts w:ascii="Times New Roman" w:hAnsi="Times New Roman" w:cs="Times New Roman"/>
          <w:sz w:val="24"/>
          <w:szCs w:val="24"/>
        </w:rPr>
        <w:t xml:space="preserve"> по частоте развития </w:t>
      </w:r>
      <w:r w:rsidR="00C11904">
        <w:rPr>
          <w:rFonts w:ascii="Times New Roman" w:hAnsi="Times New Roman" w:cs="Times New Roman"/>
          <w:sz w:val="24"/>
          <w:szCs w:val="24"/>
        </w:rPr>
        <w:t>НЯ</w:t>
      </w:r>
      <w:r w:rsidRPr="00C11904">
        <w:rPr>
          <w:rFonts w:ascii="Times New Roman" w:hAnsi="Times New Roman" w:cs="Times New Roman"/>
          <w:sz w:val="24"/>
          <w:szCs w:val="24"/>
        </w:rPr>
        <w:t xml:space="preserve"> (диареи и кожной сыпи)</w:t>
      </w:r>
      <w:r w:rsidR="00C11904">
        <w:rPr>
          <w:rFonts w:ascii="Times New Roman" w:hAnsi="Times New Roman" w:cs="Times New Roman"/>
          <w:sz w:val="24"/>
          <w:szCs w:val="24"/>
        </w:rPr>
        <w:t>.</w:t>
      </w:r>
    </w:p>
    <w:p w14:paraId="7338A77B" w14:textId="77777777" w:rsidR="00C11904" w:rsidRPr="00C11904" w:rsidRDefault="00C11904" w:rsidP="00C1190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F4D055" w14:textId="38F3345A" w:rsidR="001C0578" w:rsidRPr="0044342F" w:rsidRDefault="001C0578" w:rsidP="005A11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42F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66275F" w:rsidRPr="0044342F">
        <w:rPr>
          <w:rFonts w:ascii="Times New Roman" w:hAnsi="Times New Roman" w:cs="Times New Roman"/>
          <w:b/>
          <w:sz w:val="24"/>
          <w:szCs w:val="24"/>
        </w:rPr>
        <w:t>литературы:</w:t>
      </w:r>
    </w:p>
    <w:p w14:paraId="64ACD0F1" w14:textId="32889C57" w:rsidR="0066275F" w:rsidRPr="00BC706A" w:rsidRDefault="0066275F" w:rsidP="005A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42F">
        <w:rPr>
          <w:rFonts w:ascii="Times New Roman" w:hAnsi="Times New Roman" w:cs="Times New Roman"/>
          <w:sz w:val="24"/>
          <w:szCs w:val="24"/>
          <w:lang w:val="en-US"/>
        </w:rPr>
        <w:t>Furuncuoglu</w:t>
      </w:r>
      <w:proofErr w:type="spellEnd"/>
      <w:r w:rsidRPr="00493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342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93FB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44342F">
        <w:rPr>
          <w:rFonts w:ascii="Times New Roman" w:hAnsi="Times New Roman" w:cs="Times New Roman"/>
          <w:sz w:val="24"/>
          <w:szCs w:val="24"/>
          <w:lang w:val="en-US"/>
        </w:rPr>
        <w:t>Saglam</w:t>
      </w:r>
      <w:proofErr w:type="spellEnd"/>
      <w:r w:rsidRPr="00493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342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93FB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44342F">
        <w:rPr>
          <w:rFonts w:ascii="Times New Roman" w:hAnsi="Times New Roman" w:cs="Times New Roman"/>
          <w:sz w:val="24"/>
          <w:szCs w:val="24"/>
          <w:lang w:val="en-US"/>
        </w:rPr>
        <w:t>Kutluhan</w:t>
      </w:r>
      <w:proofErr w:type="spellEnd"/>
      <w:r w:rsidRPr="00493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342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93F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4342F">
        <w:rPr>
          <w:rFonts w:ascii="Times New Roman" w:hAnsi="Times New Roman" w:cs="Times New Roman"/>
          <w:sz w:val="24"/>
          <w:szCs w:val="24"/>
          <w:lang w:val="en-US"/>
        </w:rPr>
        <w:t>Acute</w:t>
      </w:r>
      <w:r w:rsidRPr="00493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342F">
        <w:rPr>
          <w:rFonts w:ascii="Times New Roman" w:hAnsi="Times New Roman" w:cs="Times New Roman"/>
          <w:sz w:val="24"/>
          <w:szCs w:val="24"/>
          <w:lang w:val="en-US"/>
        </w:rPr>
        <w:t>exudative</w:t>
      </w:r>
      <w:r w:rsidRPr="00493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342F">
        <w:rPr>
          <w:rFonts w:ascii="Times New Roman" w:hAnsi="Times New Roman" w:cs="Times New Roman"/>
          <w:sz w:val="24"/>
          <w:szCs w:val="24"/>
          <w:lang w:val="en-US"/>
        </w:rPr>
        <w:t>tonsillitis</w:t>
      </w:r>
      <w:r w:rsidRPr="00493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342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93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342F">
        <w:rPr>
          <w:rFonts w:ascii="Times New Roman" w:hAnsi="Times New Roman" w:cs="Times New Roman"/>
          <w:sz w:val="24"/>
          <w:szCs w:val="24"/>
          <w:lang w:val="en-US"/>
        </w:rPr>
        <w:t>adults</w:t>
      </w:r>
      <w:r w:rsidRPr="00493FB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4342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93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342F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Pr="00493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342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93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342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93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42F">
        <w:rPr>
          <w:rFonts w:ascii="Times New Roman" w:hAnsi="Times New Roman" w:cs="Times New Roman"/>
          <w:sz w:val="24"/>
          <w:szCs w:val="24"/>
          <w:lang w:val="en-US"/>
        </w:rPr>
        <w:t>Centor</w:t>
      </w:r>
      <w:proofErr w:type="spellEnd"/>
      <w:r w:rsidRPr="00493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342F">
        <w:rPr>
          <w:rFonts w:ascii="Times New Roman" w:hAnsi="Times New Roman" w:cs="Times New Roman"/>
          <w:sz w:val="24"/>
          <w:szCs w:val="24"/>
          <w:lang w:val="en-US"/>
        </w:rPr>
        <w:t>score</w:t>
      </w:r>
      <w:r w:rsidR="000B2468" w:rsidRPr="00493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342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93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342F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493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342F">
        <w:rPr>
          <w:rFonts w:ascii="Times New Roman" w:hAnsi="Times New Roman" w:cs="Times New Roman"/>
          <w:sz w:val="24"/>
          <w:szCs w:val="24"/>
          <w:lang w:val="en-US"/>
        </w:rPr>
        <w:t>laboratory</w:t>
      </w:r>
      <w:r w:rsidRPr="00493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342F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="00BC706A" w:rsidRPr="00493F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93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342F">
        <w:rPr>
          <w:rFonts w:ascii="Times New Roman" w:hAnsi="Times New Roman" w:cs="Times New Roman"/>
          <w:sz w:val="24"/>
          <w:szCs w:val="24"/>
          <w:lang w:val="en-US"/>
        </w:rPr>
        <w:t>Turk</w:t>
      </w:r>
      <w:r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Pr="0044342F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Pr="0044342F">
        <w:rPr>
          <w:rFonts w:ascii="Times New Roman" w:hAnsi="Times New Roman" w:cs="Times New Roman"/>
          <w:sz w:val="24"/>
          <w:szCs w:val="24"/>
          <w:lang w:val="en-US"/>
        </w:rPr>
        <w:t>Med</w:t>
      </w:r>
      <w:r w:rsidRPr="0044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6A">
        <w:rPr>
          <w:rFonts w:ascii="Times New Roman" w:hAnsi="Times New Roman" w:cs="Times New Roman"/>
          <w:sz w:val="24"/>
          <w:szCs w:val="24"/>
          <w:lang w:val="en-US"/>
        </w:rPr>
        <w:t>Sci</w:t>
      </w:r>
      <w:proofErr w:type="spellEnd"/>
      <w:r w:rsidR="00BC706A" w:rsidRPr="00BC706A">
        <w:rPr>
          <w:rFonts w:ascii="Times New Roman" w:hAnsi="Times New Roman" w:cs="Times New Roman"/>
          <w:sz w:val="24"/>
          <w:szCs w:val="24"/>
        </w:rPr>
        <w:t>. 2016</w:t>
      </w:r>
      <w:proofErr w:type="gramStart"/>
      <w:r w:rsidRPr="0044342F">
        <w:rPr>
          <w:rFonts w:ascii="Times New Roman" w:hAnsi="Times New Roman" w:cs="Times New Roman"/>
          <w:sz w:val="24"/>
          <w:szCs w:val="24"/>
        </w:rPr>
        <w:t>;46</w:t>
      </w:r>
      <w:proofErr w:type="gramEnd"/>
      <w:r w:rsidRPr="0044342F">
        <w:rPr>
          <w:rFonts w:ascii="Times New Roman" w:hAnsi="Times New Roman" w:cs="Times New Roman"/>
          <w:sz w:val="24"/>
          <w:szCs w:val="24"/>
        </w:rPr>
        <w:t xml:space="preserve">(6):1755-1759. </w:t>
      </w:r>
      <w:proofErr w:type="gramStart"/>
      <w:r w:rsidRPr="0044342F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gramEnd"/>
      <w:r w:rsidRPr="0044342F">
        <w:rPr>
          <w:rFonts w:ascii="Times New Roman" w:hAnsi="Times New Roman" w:cs="Times New Roman"/>
          <w:sz w:val="24"/>
          <w:szCs w:val="24"/>
        </w:rPr>
        <w:t>: 10.3906/</w:t>
      </w:r>
      <w:r w:rsidRPr="0044342F">
        <w:rPr>
          <w:rFonts w:ascii="Times New Roman" w:hAnsi="Times New Roman" w:cs="Times New Roman"/>
          <w:sz w:val="24"/>
          <w:szCs w:val="24"/>
          <w:lang w:val="en-US"/>
        </w:rPr>
        <w:t>sag</w:t>
      </w:r>
      <w:r w:rsidRPr="0044342F">
        <w:rPr>
          <w:rFonts w:ascii="Times New Roman" w:hAnsi="Times New Roman" w:cs="Times New Roman"/>
          <w:sz w:val="24"/>
          <w:szCs w:val="24"/>
        </w:rPr>
        <w:t>-1510-93.</w:t>
      </w:r>
    </w:p>
    <w:p w14:paraId="339029BC" w14:textId="37706068" w:rsidR="008945F3" w:rsidRPr="0044342F" w:rsidRDefault="008945F3" w:rsidP="005A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5F3">
        <w:rPr>
          <w:rFonts w:ascii="Times New Roman" w:hAnsi="Times New Roman" w:cs="Times New Roman"/>
          <w:sz w:val="24"/>
          <w:szCs w:val="24"/>
        </w:rPr>
        <w:t>Острый тонзиллит и фарингит (Острый тонзиллофарингит)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3D4">
        <w:rPr>
          <w:rFonts w:ascii="Times New Roman" w:hAnsi="Times New Roman" w:cs="Times New Roman"/>
          <w:sz w:val="24"/>
          <w:szCs w:val="24"/>
        </w:rPr>
        <w:t xml:space="preserve">Клинические рекомендации [Электронный ресурс]: утв. Министерством здравоохранения РФ / Национальная медицинская ассоциация </w:t>
      </w:r>
      <w:proofErr w:type="spellStart"/>
      <w:r w:rsidRPr="00F473D4">
        <w:rPr>
          <w:rFonts w:ascii="Times New Roman" w:hAnsi="Times New Roman" w:cs="Times New Roman"/>
          <w:sz w:val="24"/>
          <w:szCs w:val="24"/>
        </w:rPr>
        <w:t>оториноларингологов</w:t>
      </w:r>
      <w:proofErr w:type="spellEnd"/>
      <w:r w:rsidRPr="00F473D4">
        <w:rPr>
          <w:rFonts w:ascii="Times New Roman" w:hAnsi="Times New Roman" w:cs="Times New Roman"/>
          <w:sz w:val="24"/>
          <w:szCs w:val="24"/>
        </w:rPr>
        <w:t>. – Москва, 2021</w:t>
      </w:r>
      <w:r w:rsidR="00817138">
        <w:rPr>
          <w:rFonts w:ascii="Times New Roman" w:hAnsi="Times New Roman" w:cs="Times New Roman"/>
          <w:sz w:val="24"/>
          <w:szCs w:val="24"/>
        </w:rPr>
        <w:t>.</w:t>
      </w:r>
    </w:p>
    <w:p w14:paraId="6D6ACDCE" w14:textId="6DC55AC6" w:rsidR="0066275F" w:rsidRPr="0044342F" w:rsidRDefault="0066275F" w:rsidP="005A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2F">
        <w:rPr>
          <w:rFonts w:ascii="Times New Roman" w:hAnsi="Times New Roman" w:cs="Times New Roman"/>
          <w:sz w:val="24"/>
          <w:szCs w:val="24"/>
        </w:rPr>
        <w:t xml:space="preserve">Хронический тонзиллит. Клинические рекомендации [Электронный ресурс]: утв. Министерством здравоохранения РФ / Национальная медицинская ассоциация </w:t>
      </w:r>
      <w:proofErr w:type="spellStart"/>
      <w:r w:rsidRPr="0044342F">
        <w:rPr>
          <w:rFonts w:ascii="Times New Roman" w:hAnsi="Times New Roman" w:cs="Times New Roman"/>
          <w:sz w:val="24"/>
          <w:szCs w:val="24"/>
        </w:rPr>
        <w:t>отори</w:t>
      </w:r>
      <w:r w:rsidR="00841EE9">
        <w:rPr>
          <w:rFonts w:ascii="Times New Roman" w:hAnsi="Times New Roman" w:cs="Times New Roman"/>
          <w:sz w:val="24"/>
          <w:szCs w:val="24"/>
        </w:rPr>
        <w:t>ноларингологов</w:t>
      </w:r>
      <w:proofErr w:type="spellEnd"/>
      <w:r w:rsidR="00841EE9">
        <w:rPr>
          <w:rFonts w:ascii="Times New Roman" w:hAnsi="Times New Roman" w:cs="Times New Roman"/>
          <w:sz w:val="24"/>
          <w:szCs w:val="24"/>
        </w:rPr>
        <w:t>. – Москва, 2021.</w:t>
      </w:r>
    </w:p>
    <w:p w14:paraId="36505AAA" w14:textId="76AE096C" w:rsidR="00C90054" w:rsidRPr="0044342F" w:rsidRDefault="00C90054" w:rsidP="005A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2F">
        <w:rPr>
          <w:rFonts w:ascii="Times New Roman" w:hAnsi="Times New Roman" w:cs="Times New Roman"/>
          <w:sz w:val="24"/>
          <w:szCs w:val="24"/>
        </w:rPr>
        <w:t>Карпищенко С.А., Колесникова О.М. Выбор антибиотика при обострении тонзилл</w:t>
      </w:r>
      <w:r w:rsidR="00BC706A">
        <w:rPr>
          <w:rFonts w:ascii="Times New Roman" w:hAnsi="Times New Roman" w:cs="Times New Roman"/>
          <w:sz w:val="24"/>
          <w:szCs w:val="24"/>
        </w:rPr>
        <w:t xml:space="preserve">ита / Медицинский совет. </w:t>
      </w:r>
      <w:proofErr w:type="gramStart"/>
      <w:r w:rsidR="00BC706A">
        <w:rPr>
          <w:rFonts w:ascii="Times New Roman" w:hAnsi="Times New Roman" w:cs="Times New Roman"/>
          <w:sz w:val="24"/>
          <w:szCs w:val="24"/>
        </w:rPr>
        <w:t>2015;15:</w:t>
      </w:r>
      <w:r w:rsidRPr="0044342F">
        <w:rPr>
          <w:rFonts w:ascii="Times New Roman" w:hAnsi="Times New Roman" w:cs="Times New Roman"/>
          <w:sz w:val="24"/>
          <w:szCs w:val="24"/>
        </w:rPr>
        <w:t>40</w:t>
      </w:r>
      <w:proofErr w:type="gramEnd"/>
      <w:r w:rsidRPr="0044342F">
        <w:rPr>
          <w:rFonts w:ascii="Times New Roman" w:hAnsi="Times New Roman" w:cs="Times New Roman"/>
          <w:sz w:val="24"/>
          <w:szCs w:val="24"/>
        </w:rPr>
        <w:t>-43.</w:t>
      </w:r>
    </w:p>
    <w:p w14:paraId="671BD1A6" w14:textId="062B5139" w:rsidR="00C90054" w:rsidRDefault="00EC4F72" w:rsidP="005A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2F">
        <w:rPr>
          <w:rFonts w:ascii="Times New Roman" w:hAnsi="Times New Roman" w:cs="Times New Roman"/>
          <w:sz w:val="24"/>
          <w:szCs w:val="24"/>
        </w:rPr>
        <w:t xml:space="preserve">Колесникова О.М., </w:t>
      </w:r>
      <w:proofErr w:type="spellStart"/>
      <w:r w:rsidRPr="0044342F">
        <w:rPr>
          <w:rFonts w:ascii="Times New Roman" w:hAnsi="Times New Roman" w:cs="Times New Roman"/>
          <w:sz w:val="24"/>
          <w:szCs w:val="24"/>
        </w:rPr>
        <w:t>Карпищенко</w:t>
      </w:r>
      <w:proofErr w:type="spellEnd"/>
      <w:r w:rsidRPr="0044342F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44342F">
        <w:rPr>
          <w:rFonts w:ascii="Times New Roman" w:hAnsi="Times New Roman" w:cs="Times New Roman"/>
          <w:sz w:val="24"/>
          <w:szCs w:val="24"/>
        </w:rPr>
        <w:t>Легкова</w:t>
      </w:r>
      <w:proofErr w:type="spellEnd"/>
      <w:r w:rsidRPr="0044342F">
        <w:rPr>
          <w:rFonts w:ascii="Times New Roman" w:hAnsi="Times New Roman" w:cs="Times New Roman"/>
          <w:sz w:val="24"/>
          <w:szCs w:val="24"/>
        </w:rPr>
        <w:t xml:space="preserve"> Ю.В. </w:t>
      </w:r>
      <w:r w:rsidR="00C90054" w:rsidRPr="0044342F">
        <w:rPr>
          <w:rFonts w:ascii="Times New Roman" w:hAnsi="Times New Roman" w:cs="Times New Roman"/>
          <w:sz w:val="24"/>
          <w:szCs w:val="24"/>
        </w:rPr>
        <w:t xml:space="preserve">Противовоспалительная терапия заболеваний глотки. </w:t>
      </w:r>
      <w:proofErr w:type="spellStart"/>
      <w:r w:rsidR="00C90054" w:rsidRPr="0044342F">
        <w:rPr>
          <w:rFonts w:ascii="Times New Roman" w:hAnsi="Times New Roman" w:cs="Times New Roman"/>
          <w:sz w:val="24"/>
          <w:szCs w:val="24"/>
        </w:rPr>
        <w:t>Folia</w:t>
      </w:r>
      <w:proofErr w:type="spellEnd"/>
      <w:r w:rsidR="00C90054" w:rsidRPr="0044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54" w:rsidRPr="0044342F">
        <w:rPr>
          <w:rFonts w:ascii="Times New Roman" w:hAnsi="Times New Roman" w:cs="Times New Roman"/>
          <w:sz w:val="24"/>
          <w:szCs w:val="24"/>
        </w:rPr>
        <w:t>Otorhinolaryngologiae</w:t>
      </w:r>
      <w:proofErr w:type="spellEnd"/>
      <w:r w:rsidR="00C90054" w:rsidRPr="0044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54" w:rsidRPr="0044342F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C90054" w:rsidRPr="0044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054" w:rsidRPr="0044342F">
        <w:rPr>
          <w:rFonts w:ascii="Times New Roman" w:hAnsi="Times New Roman" w:cs="Times New Roman"/>
          <w:sz w:val="24"/>
          <w:szCs w:val="24"/>
        </w:rPr>
        <w:t>P</w:t>
      </w:r>
      <w:r w:rsidR="00BC706A">
        <w:rPr>
          <w:rFonts w:ascii="Times New Roman" w:hAnsi="Times New Roman" w:cs="Times New Roman"/>
          <w:sz w:val="24"/>
          <w:szCs w:val="24"/>
        </w:rPr>
        <w:t>athologiae</w:t>
      </w:r>
      <w:proofErr w:type="spellEnd"/>
      <w:r w:rsidR="00BC7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6A">
        <w:rPr>
          <w:rFonts w:ascii="Times New Roman" w:hAnsi="Times New Roman" w:cs="Times New Roman"/>
          <w:sz w:val="24"/>
          <w:szCs w:val="24"/>
        </w:rPr>
        <w:t>Respiratoriae</w:t>
      </w:r>
      <w:proofErr w:type="spellEnd"/>
      <w:r w:rsidR="00BC706A">
        <w:rPr>
          <w:rFonts w:ascii="Times New Roman" w:hAnsi="Times New Roman" w:cs="Times New Roman"/>
          <w:sz w:val="24"/>
          <w:szCs w:val="24"/>
        </w:rPr>
        <w:t>. 2019;25(</w:t>
      </w:r>
      <w:r w:rsidR="00C90054" w:rsidRPr="0044342F">
        <w:rPr>
          <w:rFonts w:ascii="Times New Roman" w:hAnsi="Times New Roman" w:cs="Times New Roman"/>
          <w:sz w:val="24"/>
          <w:szCs w:val="24"/>
        </w:rPr>
        <w:t>3</w:t>
      </w:r>
      <w:r w:rsidR="00BC706A">
        <w:rPr>
          <w:rFonts w:ascii="Times New Roman" w:hAnsi="Times New Roman" w:cs="Times New Roman"/>
          <w:sz w:val="24"/>
          <w:szCs w:val="24"/>
        </w:rPr>
        <w:t>):</w:t>
      </w:r>
      <w:r w:rsidR="00C90054" w:rsidRPr="0044342F">
        <w:rPr>
          <w:rFonts w:ascii="Times New Roman" w:hAnsi="Times New Roman" w:cs="Times New Roman"/>
          <w:sz w:val="24"/>
          <w:szCs w:val="24"/>
        </w:rPr>
        <w:t>53-59.</w:t>
      </w:r>
    </w:p>
    <w:p w14:paraId="3AECD2C3" w14:textId="54965287" w:rsidR="00D7478A" w:rsidRDefault="00D7478A" w:rsidP="005A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 по медицинскому применению препарата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Флемоксин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Солютаб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659412" w14:textId="11846F21" w:rsidR="00D7478A" w:rsidRDefault="00D7478A" w:rsidP="005A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5D">
        <w:rPr>
          <w:rFonts w:ascii="Times New Roman" w:hAnsi="Times New Roman" w:cs="Times New Roman"/>
          <w:sz w:val="24"/>
          <w:szCs w:val="24"/>
        </w:rPr>
        <w:t xml:space="preserve"> </w:t>
      </w:r>
      <w:r w:rsidRPr="0044342F">
        <w:rPr>
          <w:rFonts w:ascii="Times New Roman" w:hAnsi="Times New Roman" w:cs="Times New Roman"/>
          <w:sz w:val="24"/>
          <w:szCs w:val="24"/>
        </w:rPr>
        <w:t xml:space="preserve">Зырянов С.К., </w:t>
      </w:r>
      <w:proofErr w:type="spellStart"/>
      <w:r w:rsidRPr="0044342F">
        <w:rPr>
          <w:rFonts w:ascii="Times New Roman" w:hAnsi="Times New Roman" w:cs="Times New Roman"/>
          <w:sz w:val="24"/>
          <w:szCs w:val="24"/>
        </w:rPr>
        <w:t>Байбулатова</w:t>
      </w:r>
      <w:proofErr w:type="spellEnd"/>
      <w:r w:rsidRPr="0044342F">
        <w:rPr>
          <w:rFonts w:ascii="Times New Roman" w:hAnsi="Times New Roman" w:cs="Times New Roman"/>
          <w:sz w:val="24"/>
          <w:szCs w:val="24"/>
        </w:rPr>
        <w:t xml:space="preserve"> Е.А. Использование новых лекарственных форм антибиотиков как путь повышения эффективности и безопасности антибактериальной терапии. Антибиотики и химиотерапия. 2019; 64: 3-4. doi: 10.24411/0235-2990-2019-10020.</w:t>
      </w:r>
    </w:p>
    <w:p w14:paraId="20A7F744" w14:textId="46D7B90B" w:rsidR="00C6725D" w:rsidRPr="00C6725D" w:rsidRDefault="00C6725D" w:rsidP="005A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25D">
        <w:rPr>
          <w:rFonts w:ascii="Times New Roman" w:hAnsi="Times New Roman" w:cs="Times New Roman"/>
          <w:sz w:val="24"/>
          <w:szCs w:val="24"/>
          <w:lang w:val="en-US"/>
        </w:rPr>
        <w:t>Cortvriendt</w:t>
      </w:r>
      <w:proofErr w:type="spellEnd"/>
      <w:r w:rsidRPr="00C6725D">
        <w:rPr>
          <w:rFonts w:ascii="Times New Roman" w:hAnsi="Times New Roman" w:cs="Times New Roman"/>
          <w:sz w:val="24"/>
          <w:szCs w:val="24"/>
          <w:lang w:val="en-US"/>
        </w:rPr>
        <w:t xml:space="preserve"> W.R.</w:t>
      </w:r>
      <w:proofErr w:type="gramStart"/>
      <w:r w:rsidRPr="00C6725D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C6725D">
        <w:rPr>
          <w:rFonts w:ascii="Times New Roman" w:hAnsi="Times New Roman" w:cs="Times New Roman"/>
          <w:sz w:val="24"/>
          <w:szCs w:val="24"/>
          <w:lang w:val="en-US"/>
        </w:rPr>
        <w:t>Verschoor</w:t>
      </w:r>
      <w:proofErr w:type="spellEnd"/>
      <w:proofErr w:type="gramEnd"/>
      <w:r w:rsidRPr="00C6725D">
        <w:rPr>
          <w:rFonts w:ascii="Times New Roman" w:hAnsi="Times New Roman" w:cs="Times New Roman"/>
          <w:sz w:val="24"/>
          <w:szCs w:val="24"/>
          <w:lang w:val="en-US"/>
        </w:rPr>
        <w:t xml:space="preserve"> J.S.C., </w:t>
      </w:r>
      <w:proofErr w:type="spellStart"/>
      <w:r w:rsidRPr="00C6725D">
        <w:rPr>
          <w:rFonts w:ascii="Times New Roman" w:hAnsi="Times New Roman" w:cs="Times New Roman"/>
          <w:sz w:val="24"/>
          <w:szCs w:val="24"/>
          <w:lang w:val="en-US"/>
        </w:rPr>
        <w:t>Hespe</w:t>
      </w:r>
      <w:proofErr w:type="spellEnd"/>
      <w:r w:rsidRPr="00C6725D">
        <w:rPr>
          <w:rFonts w:ascii="Times New Roman" w:hAnsi="Times New Roman" w:cs="Times New Roman"/>
          <w:sz w:val="24"/>
          <w:szCs w:val="24"/>
          <w:lang w:val="en-US"/>
        </w:rPr>
        <w:t xml:space="preserve"> W. Bioavailability study of a new amoxicillin tablet designed for several modes of oral administration. </w:t>
      </w:r>
      <w:proofErr w:type="spellStart"/>
      <w:r w:rsidRPr="00C6725D">
        <w:rPr>
          <w:rFonts w:ascii="Times New Roman" w:hAnsi="Times New Roman" w:cs="Times New Roman"/>
          <w:sz w:val="24"/>
          <w:szCs w:val="24"/>
        </w:rPr>
        <w:t>Arzneimittel</w:t>
      </w:r>
      <w:proofErr w:type="spellEnd"/>
      <w:r w:rsidRPr="00C67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5D">
        <w:rPr>
          <w:rFonts w:ascii="Times New Roman" w:hAnsi="Times New Roman" w:cs="Times New Roman"/>
          <w:sz w:val="24"/>
          <w:szCs w:val="24"/>
        </w:rPr>
        <w:t>forschung</w:t>
      </w:r>
      <w:proofErr w:type="spellEnd"/>
      <w:r w:rsidRPr="00C6725D">
        <w:rPr>
          <w:rFonts w:ascii="Times New Roman" w:hAnsi="Times New Roman" w:cs="Times New Roman"/>
          <w:sz w:val="24"/>
          <w:szCs w:val="24"/>
        </w:rPr>
        <w:t xml:space="preserve"> 1987; 37 (8): 977—979.</w:t>
      </w:r>
    </w:p>
    <w:p w14:paraId="057519DB" w14:textId="4D2D2808" w:rsidR="008945F3" w:rsidRPr="008945F3" w:rsidRDefault="008945F3" w:rsidP="005A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5F3">
        <w:rPr>
          <w:rFonts w:ascii="Times New Roman" w:hAnsi="Times New Roman" w:cs="Times New Roman"/>
          <w:sz w:val="24"/>
          <w:szCs w:val="24"/>
        </w:rPr>
        <w:t xml:space="preserve">Таточенко ВК, </w:t>
      </w:r>
      <w:proofErr w:type="spellStart"/>
      <w:r w:rsidRPr="008945F3">
        <w:rPr>
          <w:rFonts w:ascii="Times New Roman" w:hAnsi="Times New Roman" w:cs="Times New Roman"/>
          <w:sz w:val="24"/>
          <w:szCs w:val="24"/>
        </w:rPr>
        <w:t>Бакрадзе</w:t>
      </w:r>
      <w:proofErr w:type="spellEnd"/>
      <w:r w:rsidRPr="008945F3">
        <w:rPr>
          <w:rFonts w:ascii="Times New Roman" w:hAnsi="Times New Roman" w:cs="Times New Roman"/>
          <w:sz w:val="24"/>
          <w:szCs w:val="24"/>
        </w:rPr>
        <w:t xml:space="preserve"> МД, Хохлова ТА, Рогова ОА. Рациональная антибактериальная терапия инфекций дыхательных путей. Медицинский совет. 2014;(1):62–67. </w:t>
      </w:r>
    </w:p>
    <w:p w14:paraId="5389B929" w14:textId="7A010096" w:rsidR="008945F3" w:rsidRPr="0044342F" w:rsidRDefault="008945F3" w:rsidP="005A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42F">
        <w:rPr>
          <w:rFonts w:ascii="Times New Roman" w:hAnsi="Times New Roman" w:cs="Times New Roman"/>
          <w:sz w:val="24"/>
          <w:szCs w:val="24"/>
          <w:lang w:val="en-US"/>
        </w:rPr>
        <w:t xml:space="preserve">Sánchez Navarro A. New formulations of amoxicillin/clavulanic acid: a pharmacokinetic and </w:t>
      </w:r>
      <w:proofErr w:type="spellStart"/>
      <w:r w:rsidRPr="0044342F">
        <w:rPr>
          <w:rFonts w:ascii="Times New Roman" w:hAnsi="Times New Roman" w:cs="Times New Roman"/>
          <w:sz w:val="24"/>
          <w:szCs w:val="24"/>
          <w:lang w:val="en-US"/>
        </w:rPr>
        <w:t>pharmacodynamic</w:t>
      </w:r>
      <w:proofErr w:type="spellEnd"/>
      <w:r w:rsidRPr="0044342F">
        <w:rPr>
          <w:rFonts w:ascii="Times New Roman" w:hAnsi="Times New Roman" w:cs="Times New Roman"/>
          <w:sz w:val="24"/>
          <w:szCs w:val="24"/>
          <w:lang w:val="en-US"/>
        </w:rPr>
        <w:t xml:space="preserve"> review. </w:t>
      </w:r>
      <w:proofErr w:type="spellStart"/>
      <w:r w:rsidRPr="0044342F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4434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42F">
        <w:rPr>
          <w:rFonts w:ascii="Times New Roman" w:hAnsi="Times New Roman" w:cs="Times New Roman"/>
          <w:sz w:val="24"/>
          <w:szCs w:val="24"/>
          <w:lang w:val="en-US"/>
        </w:rPr>
        <w:t>Pharmacokinet</w:t>
      </w:r>
      <w:proofErr w:type="spellEnd"/>
      <w:r w:rsidRPr="004434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4342F">
        <w:rPr>
          <w:rFonts w:ascii="Times New Roman" w:hAnsi="Times New Roman" w:cs="Times New Roman"/>
          <w:sz w:val="24"/>
          <w:szCs w:val="24"/>
        </w:rPr>
        <w:t xml:space="preserve">2005;44(11):1097–1115. </w:t>
      </w:r>
      <w:hyperlink r:id="rId10" w:history="1">
        <w:r w:rsidR="00BA7804" w:rsidRPr="0044342F">
          <w:rPr>
            <w:rStyle w:val="ab"/>
            <w:rFonts w:ascii="Times New Roman" w:hAnsi="Times New Roman" w:cs="Times New Roman"/>
            <w:sz w:val="24"/>
            <w:szCs w:val="24"/>
          </w:rPr>
          <w:t>https://doi.org/10.2165/00003088-200544110-00001</w:t>
        </w:r>
      </w:hyperlink>
    </w:p>
    <w:p w14:paraId="13808603" w14:textId="6BE29C55" w:rsidR="003175EF" w:rsidRDefault="003175EF" w:rsidP="005A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2F">
        <w:rPr>
          <w:rFonts w:ascii="Times New Roman" w:hAnsi="Times New Roman" w:cs="Times New Roman"/>
          <w:sz w:val="24"/>
          <w:szCs w:val="24"/>
        </w:rPr>
        <w:lastRenderedPageBreak/>
        <w:t>Отит средний острый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706A" w:rsidRPr="00F473D4">
        <w:rPr>
          <w:rFonts w:ascii="Times New Roman" w:hAnsi="Times New Roman" w:cs="Times New Roman"/>
          <w:sz w:val="24"/>
          <w:szCs w:val="24"/>
        </w:rPr>
        <w:t xml:space="preserve">Клинические рекомендации [Электронный ресурс]: утв. Министерством здравоохранения РФ / Национальная медицинская ассоциация </w:t>
      </w:r>
      <w:proofErr w:type="spellStart"/>
      <w:r w:rsidR="00BC706A" w:rsidRPr="00F473D4">
        <w:rPr>
          <w:rFonts w:ascii="Times New Roman" w:hAnsi="Times New Roman" w:cs="Times New Roman"/>
          <w:sz w:val="24"/>
          <w:szCs w:val="24"/>
        </w:rPr>
        <w:t>оториноларингологов</w:t>
      </w:r>
      <w:proofErr w:type="spellEnd"/>
      <w:r w:rsidR="00BC706A" w:rsidRPr="00F473D4">
        <w:rPr>
          <w:rFonts w:ascii="Times New Roman" w:hAnsi="Times New Roman" w:cs="Times New Roman"/>
          <w:sz w:val="24"/>
          <w:szCs w:val="24"/>
        </w:rPr>
        <w:t>. – Москва,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FFF48B" w14:textId="697353E2" w:rsidR="001A7D19" w:rsidRDefault="001A7D19" w:rsidP="005A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19">
        <w:rPr>
          <w:rFonts w:ascii="Times New Roman" w:hAnsi="Times New Roman" w:cs="Times New Roman"/>
          <w:sz w:val="24"/>
          <w:szCs w:val="24"/>
          <w:lang w:val="en-US"/>
        </w:rPr>
        <w:t xml:space="preserve">Amoxicillin Dispersible Tablets: Market and Supply Update. </w:t>
      </w:r>
      <w:r w:rsidRPr="001A7D19">
        <w:rPr>
          <w:rFonts w:ascii="Times New Roman" w:hAnsi="Times New Roman" w:cs="Times New Roman"/>
          <w:sz w:val="24"/>
          <w:szCs w:val="24"/>
        </w:rPr>
        <w:t xml:space="preserve">UNICEF </w:t>
      </w:r>
      <w:proofErr w:type="spellStart"/>
      <w:r w:rsidRPr="001A7D19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1A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19">
        <w:rPr>
          <w:rFonts w:ascii="Times New Roman" w:hAnsi="Times New Roman" w:cs="Times New Roman"/>
          <w:sz w:val="24"/>
          <w:szCs w:val="24"/>
        </w:rPr>
        <w:t>Division</w:t>
      </w:r>
      <w:proofErr w:type="spellEnd"/>
      <w:r w:rsidRPr="001A7D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7D1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1A7D19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8BF99E" w14:textId="467BAB77" w:rsidR="003175EF" w:rsidRPr="003175EF" w:rsidRDefault="003175EF" w:rsidP="005A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5EF">
        <w:rPr>
          <w:rFonts w:ascii="Times New Roman" w:hAnsi="Times New Roman" w:cs="Times New Roman"/>
          <w:sz w:val="24"/>
          <w:szCs w:val="24"/>
        </w:rPr>
        <w:t>Перечень взаимозаменяемых препаратов,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645D4E" w14:textId="3475B187" w:rsidR="0081100F" w:rsidRPr="0044342F" w:rsidRDefault="0081100F" w:rsidP="005A11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2F">
        <w:rPr>
          <w:rFonts w:ascii="Times New Roman" w:hAnsi="Times New Roman" w:cs="Times New Roman"/>
          <w:sz w:val="24"/>
          <w:szCs w:val="24"/>
        </w:rPr>
        <w:t xml:space="preserve">Экспресс-диагностическая система для определения </w:t>
      </w:r>
      <w:r w:rsidRPr="0081100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Pr="0081100F">
        <w:rPr>
          <w:rFonts w:ascii="Times New Roman" w:hAnsi="Times New Roman" w:cs="Times New Roman"/>
          <w:sz w:val="24"/>
          <w:szCs w:val="24"/>
          <w:lang w:val="en-US"/>
        </w:rPr>
        <w:t>vitro</w:t>
      </w:r>
      <w:r w:rsidRPr="0044342F">
        <w:rPr>
          <w:rFonts w:ascii="Times New Roman" w:hAnsi="Times New Roman" w:cs="Times New Roman"/>
          <w:sz w:val="24"/>
          <w:szCs w:val="24"/>
        </w:rPr>
        <w:t xml:space="preserve"> </w:t>
      </w:r>
      <w:r w:rsidRPr="0081100F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44342F">
        <w:rPr>
          <w:rFonts w:ascii="Times New Roman" w:hAnsi="Times New Roman" w:cs="Times New Roman"/>
          <w:sz w:val="24"/>
          <w:szCs w:val="24"/>
        </w:rPr>
        <w:t>-гемолитического стрептококка группы А «Стрептатест» (</w:t>
      </w:r>
      <w:r w:rsidRPr="0081100F">
        <w:rPr>
          <w:rFonts w:ascii="Times New Roman" w:hAnsi="Times New Roman" w:cs="Times New Roman"/>
          <w:sz w:val="24"/>
          <w:szCs w:val="24"/>
          <w:lang w:val="en-US"/>
        </w:rPr>
        <w:t>Streptatest</w:t>
      </w:r>
      <w:r w:rsidRPr="0044342F">
        <w:rPr>
          <w:rFonts w:ascii="Times New Roman" w:hAnsi="Times New Roman" w:cs="Times New Roman"/>
          <w:sz w:val="24"/>
          <w:szCs w:val="24"/>
        </w:rPr>
        <w:t>). Аннотация. 2013</w:t>
      </w:r>
    </w:p>
    <w:p w14:paraId="06614F2E" w14:textId="3A42891C" w:rsidR="00BA7804" w:rsidRDefault="00BA7804" w:rsidP="005A11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A7804">
        <w:rPr>
          <w:rFonts w:ascii="Times New Roman" w:hAnsi="Times New Roman" w:cs="Times New Roman"/>
          <w:sz w:val="24"/>
          <w:szCs w:val="24"/>
          <w:lang w:val="en-US"/>
        </w:rPr>
        <w:t>McIsaac</w:t>
      </w:r>
      <w:proofErr w:type="spellEnd"/>
      <w:r w:rsidRPr="00BA7804">
        <w:rPr>
          <w:rFonts w:ascii="Times New Roman" w:hAnsi="Times New Roman" w:cs="Times New Roman"/>
          <w:sz w:val="24"/>
          <w:szCs w:val="24"/>
          <w:lang w:val="en-US"/>
        </w:rPr>
        <w:t xml:space="preserve"> W.J., White D., </w:t>
      </w:r>
      <w:proofErr w:type="spellStart"/>
      <w:r w:rsidRPr="00BA7804">
        <w:rPr>
          <w:rFonts w:ascii="Times New Roman" w:hAnsi="Times New Roman" w:cs="Times New Roman"/>
          <w:sz w:val="24"/>
          <w:szCs w:val="24"/>
          <w:lang w:val="en-US"/>
        </w:rPr>
        <w:t>Tannenbaum</w:t>
      </w:r>
      <w:proofErr w:type="spellEnd"/>
      <w:r w:rsidRPr="00BA7804">
        <w:rPr>
          <w:rFonts w:ascii="Times New Roman" w:hAnsi="Times New Roman" w:cs="Times New Roman"/>
          <w:sz w:val="24"/>
          <w:szCs w:val="24"/>
          <w:lang w:val="en-US"/>
        </w:rPr>
        <w:t xml:space="preserve"> D., Low D.E. A clinical score to reduce unnecessary antibiotic use in patients with sore throat. CMAJ. </w:t>
      </w:r>
      <w:proofErr w:type="gramStart"/>
      <w:r w:rsidRPr="00BA7804">
        <w:rPr>
          <w:rFonts w:ascii="Times New Roman" w:hAnsi="Times New Roman" w:cs="Times New Roman"/>
          <w:sz w:val="24"/>
          <w:szCs w:val="24"/>
          <w:lang w:val="en-US"/>
        </w:rPr>
        <w:t>1998</w:t>
      </w:r>
      <w:proofErr w:type="gramEnd"/>
      <w:r w:rsidRPr="00BA7804">
        <w:rPr>
          <w:rFonts w:ascii="Times New Roman" w:hAnsi="Times New Roman" w:cs="Times New Roman"/>
          <w:sz w:val="24"/>
          <w:szCs w:val="24"/>
          <w:lang w:val="en-US"/>
        </w:rPr>
        <w:t>; 158(1): 75–83.</w:t>
      </w:r>
    </w:p>
    <w:p w14:paraId="2592C925" w14:textId="0C08D3F1" w:rsidR="00F54131" w:rsidRDefault="00F54131" w:rsidP="005A11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4131">
        <w:rPr>
          <w:rFonts w:ascii="Times New Roman" w:hAnsi="Times New Roman" w:cs="Times New Roman"/>
          <w:sz w:val="24"/>
          <w:szCs w:val="24"/>
          <w:lang w:val="en-US"/>
        </w:rPr>
        <w:t>Huskisson E. C. Measurement of pain. Lancet. 1974</w:t>
      </w:r>
      <w:proofErr w:type="gramStart"/>
      <w:r w:rsidRPr="00F54131">
        <w:rPr>
          <w:rFonts w:ascii="Times New Roman" w:hAnsi="Times New Roman" w:cs="Times New Roman"/>
          <w:sz w:val="24"/>
          <w:szCs w:val="24"/>
          <w:lang w:val="en-US"/>
        </w:rPr>
        <w:t>;304:1127</w:t>
      </w:r>
      <w:proofErr w:type="gramEnd"/>
      <w:r w:rsidRPr="00F54131">
        <w:rPr>
          <w:rFonts w:ascii="Times New Roman" w:hAnsi="Times New Roman" w:cs="Times New Roman"/>
          <w:sz w:val="24"/>
          <w:szCs w:val="24"/>
          <w:lang w:val="en-US"/>
        </w:rPr>
        <w:t>-1131. doi: 10.1016/s0140-6736(74)90884-8</w:t>
      </w:r>
    </w:p>
    <w:p w14:paraId="49B77554" w14:textId="21B4D8C0" w:rsidR="002205D1" w:rsidRPr="00BA7804" w:rsidRDefault="002205D1" w:rsidP="005A11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205D1">
        <w:rPr>
          <w:rFonts w:ascii="Times New Roman" w:hAnsi="Times New Roman" w:cs="Times New Roman"/>
          <w:sz w:val="24"/>
          <w:szCs w:val="24"/>
          <w:lang w:val="en-US"/>
        </w:rPr>
        <w:t>Schachtel</w:t>
      </w:r>
      <w:proofErr w:type="spellEnd"/>
      <w:r w:rsidRPr="002205D1">
        <w:rPr>
          <w:rFonts w:ascii="Times New Roman" w:hAnsi="Times New Roman" w:cs="Times New Roman"/>
          <w:sz w:val="24"/>
          <w:szCs w:val="24"/>
          <w:lang w:val="en-US"/>
        </w:rPr>
        <w:t xml:space="preserve">, B., Aspley, S., </w:t>
      </w:r>
      <w:proofErr w:type="spellStart"/>
      <w:r w:rsidRPr="002205D1">
        <w:rPr>
          <w:rFonts w:ascii="Times New Roman" w:hAnsi="Times New Roman" w:cs="Times New Roman"/>
          <w:sz w:val="24"/>
          <w:szCs w:val="24"/>
          <w:lang w:val="en-US"/>
        </w:rPr>
        <w:t>Shephard</w:t>
      </w:r>
      <w:proofErr w:type="spellEnd"/>
      <w:r w:rsidRPr="002205D1">
        <w:rPr>
          <w:rFonts w:ascii="Times New Roman" w:hAnsi="Times New Roman" w:cs="Times New Roman"/>
          <w:sz w:val="24"/>
          <w:szCs w:val="24"/>
          <w:lang w:val="en-US"/>
        </w:rPr>
        <w:t xml:space="preserve">, A. et al. Utility of the sore throat pain model in a multiple-dose assessment of the acute analgesic </w:t>
      </w:r>
      <w:proofErr w:type="spellStart"/>
      <w:r w:rsidRPr="002205D1">
        <w:rPr>
          <w:rFonts w:ascii="Times New Roman" w:hAnsi="Times New Roman" w:cs="Times New Roman"/>
          <w:sz w:val="24"/>
          <w:szCs w:val="24"/>
          <w:lang w:val="en-US"/>
        </w:rPr>
        <w:t>flurbiprofen</w:t>
      </w:r>
      <w:proofErr w:type="spellEnd"/>
      <w:r w:rsidRPr="002205D1">
        <w:rPr>
          <w:rFonts w:ascii="Times New Roman" w:hAnsi="Times New Roman" w:cs="Times New Roman"/>
          <w:sz w:val="24"/>
          <w:szCs w:val="24"/>
          <w:lang w:val="en-US"/>
        </w:rPr>
        <w:t>: a randomized controlled study. Trials</w:t>
      </w:r>
      <w:r w:rsidR="00BE14A9" w:rsidRPr="00BE14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205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14A9" w:rsidRPr="002205D1">
        <w:rPr>
          <w:rFonts w:ascii="Times New Roman" w:hAnsi="Times New Roman" w:cs="Times New Roman"/>
          <w:sz w:val="24"/>
          <w:szCs w:val="24"/>
          <w:lang w:val="en-US"/>
        </w:rPr>
        <w:t>2014</w:t>
      </w:r>
      <w:proofErr w:type="gramStart"/>
      <w:r w:rsidR="00BE14A9" w:rsidRPr="00493FB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E14A9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BE14A9" w:rsidRPr="00493FB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E14A9">
        <w:rPr>
          <w:rFonts w:ascii="Times New Roman" w:hAnsi="Times New Roman" w:cs="Times New Roman"/>
          <w:sz w:val="24"/>
          <w:szCs w:val="24"/>
          <w:lang w:val="en-US"/>
        </w:rPr>
        <w:t>263</w:t>
      </w:r>
      <w:proofErr w:type="gramEnd"/>
      <w:r w:rsidRPr="002205D1">
        <w:rPr>
          <w:rFonts w:ascii="Times New Roman" w:hAnsi="Times New Roman" w:cs="Times New Roman"/>
          <w:sz w:val="24"/>
          <w:szCs w:val="24"/>
          <w:lang w:val="en-US"/>
        </w:rPr>
        <w:t>. https://doi.org/10.1186/1745-6215-15-263</w:t>
      </w:r>
    </w:p>
    <w:p w14:paraId="114AEE9A" w14:textId="48211B3C" w:rsidR="00BA7804" w:rsidRDefault="0081100F" w:rsidP="005A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100F">
        <w:rPr>
          <w:rFonts w:ascii="Times New Roman" w:hAnsi="Times New Roman" w:cs="Times New Roman"/>
          <w:sz w:val="24"/>
          <w:szCs w:val="24"/>
          <w:lang w:val="en-US"/>
        </w:rPr>
        <w:t>Morisky D. E., Green L. W., Levine D. M. Concurrent and predictive validity of a self-reported measure of medication adherence. Med Care</w:t>
      </w:r>
      <w:r w:rsidR="00BE14A9">
        <w:rPr>
          <w:rFonts w:ascii="Times New Roman" w:hAnsi="Times New Roman" w:cs="Times New Roman"/>
          <w:sz w:val="24"/>
          <w:szCs w:val="24"/>
        </w:rPr>
        <w:t>.</w:t>
      </w:r>
      <w:r w:rsidRPr="0081100F">
        <w:rPr>
          <w:rFonts w:ascii="Times New Roman" w:hAnsi="Times New Roman" w:cs="Times New Roman"/>
          <w:sz w:val="24"/>
          <w:szCs w:val="24"/>
          <w:lang w:val="en-US"/>
        </w:rPr>
        <w:t xml:space="preserve"> 1986; 24(1): 67-74</w:t>
      </w:r>
    </w:p>
    <w:p w14:paraId="2541DDF3" w14:textId="0BB8DE7A" w:rsidR="00296480" w:rsidRDefault="00296480" w:rsidP="005A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6480">
        <w:rPr>
          <w:rFonts w:ascii="Times New Roman" w:hAnsi="Times New Roman" w:cs="Times New Roman"/>
          <w:sz w:val="24"/>
          <w:szCs w:val="24"/>
          <w:lang w:val="en-US"/>
        </w:rPr>
        <w:t>Busner</w:t>
      </w:r>
      <w:proofErr w:type="spellEnd"/>
      <w:r w:rsidRPr="00296480">
        <w:rPr>
          <w:rFonts w:ascii="Times New Roman" w:hAnsi="Times New Roman" w:cs="Times New Roman"/>
          <w:sz w:val="24"/>
          <w:szCs w:val="24"/>
          <w:lang w:val="en-US"/>
        </w:rPr>
        <w:t xml:space="preserve"> J, Targum SD. The clinical global impressions scale: applying a research tool in clinical practice. Psychiatry. 2007;4(7):28–37</w:t>
      </w:r>
    </w:p>
    <w:p w14:paraId="4E3BB86D" w14:textId="47282DFD" w:rsidR="00004B1C" w:rsidRPr="00522B84" w:rsidRDefault="00004B1C" w:rsidP="005A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42F">
        <w:rPr>
          <w:rFonts w:ascii="Times New Roman" w:hAnsi="Times New Roman" w:cs="Times New Roman"/>
          <w:sz w:val="24"/>
          <w:szCs w:val="24"/>
        </w:rPr>
        <w:t>Вёрткин</w:t>
      </w:r>
      <w:proofErr w:type="spellEnd"/>
      <w:r w:rsidRPr="0044342F">
        <w:rPr>
          <w:rFonts w:ascii="Times New Roman" w:hAnsi="Times New Roman" w:cs="Times New Roman"/>
          <w:sz w:val="24"/>
          <w:szCs w:val="24"/>
        </w:rPr>
        <w:t xml:space="preserve"> АЛ, </w:t>
      </w:r>
      <w:proofErr w:type="spellStart"/>
      <w:r w:rsidRPr="0044342F">
        <w:rPr>
          <w:rFonts w:ascii="Times New Roman" w:hAnsi="Times New Roman" w:cs="Times New Roman"/>
          <w:sz w:val="24"/>
          <w:szCs w:val="24"/>
        </w:rPr>
        <w:t>Шамуилова</w:t>
      </w:r>
      <w:proofErr w:type="spellEnd"/>
      <w:r w:rsidRPr="0044342F">
        <w:rPr>
          <w:rFonts w:ascii="Times New Roman" w:hAnsi="Times New Roman" w:cs="Times New Roman"/>
          <w:sz w:val="24"/>
          <w:szCs w:val="24"/>
        </w:rPr>
        <w:t xml:space="preserve"> ММ, </w:t>
      </w:r>
      <w:proofErr w:type="spellStart"/>
      <w:r w:rsidRPr="0044342F">
        <w:rPr>
          <w:rFonts w:ascii="Times New Roman" w:hAnsi="Times New Roman" w:cs="Times New Roman"/>
          <w:sz w:val="24"/>
          <w:szCs w:val="24"/>
        </w:rPr>
        <w:t>Кнор</w:t>
      </w:r>
      <w:r w:rsidRPr="00004B1C">
        <w:rPr>
          <w:rFonts w:ascii="Times New Roman" w:hAnsi="Times New Roman" w:cs="Times New Roman"/>
          <w:sz w:val="24"/>
          <w:szCs w:val="24"/>
        </w:rPr>
        <w:t>ринг</w:t>
      </w:r>
      <w:proofErr w:type="spellEnd"/>
      <w:r w:rsidRPr="00004B1C">
        <w:rPr>
          <w:rFonts w:ascii="Times New Roman" w:hAnsi="Times New Roman" w:cs="Times New Roman"/>
          <w:sz w:val="24"/>
          <w:szCs w:val="24"/>
        </w:rPr>
        <w:t xml:space="preserve"> ГЮ. Особенности и преимуще</w:t>
      </w:r>
      <w:r w:rsidRPr="0044342F">
        <w:rPr>
          <w:rFonts w:ascii="Times New Roman" w:hAnsi="Times New Roman" w:cs="Times New Roman"/>
          <w:sz w:val="24"/>
          <w:szCs w:val="24"/>
        </w:rPr>
        <w:t xml:space="preserve">ства применения современных форм антибиотиков с улучшенными фармакокинетическими свойствами. Лечащий врач. 2022;9(25):61–64. </w:t>
      </w:r>
      <w:hyperlink r:id="rId11" w:history="1">
        <w:r w:rsidR="00522B84" w:rsidRPr="00985FA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https://doi.org/10.51793/OS.2022.25.9.011</w:t>
        </w:r>
      </w:hyperlink>
    </w:p>
    <w:p w14:paraId="2093696F" w14:textId="198B2C6A" w:rsidR="00522B84" w:rsidRDefault="00802ABB" w:rsidP="00522B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22B84" w:rsidRPr="00985FAB">
          <w:rPr>
            <w:rStyle w:val="ab"/>
            <w:rFonts w:ascii="Times New Roman" w:hAnsi="Times New Roman" w:cs="Times New Roman"/>
            <w:sz w:val="24"/>
            <w:szCs w:val="24"/>
          </w:rPr>
          <w:t>https://grls.rosminzdrav.ru/</w:t>
        </w:r>
      </w:hyperlink>
      <w:r w:rsidR="00522B84">
        <w:rPr>
          <w:rFonts w:ascii="Times New Roman" w:hAnsi="Times New Roman" w:cs="Times New Roman"/>
          <w:sz w:val="24"/>
          <w:szCs w:val="24"/>
        </w:rPr>
        <w:t xml:space="preserve">. Инструкция по медицинскому применению препарата Амоксициллин + Клавулановая кислота ЭКСПРЕСС </w:t>
      </w:r>
    </w:p>
    <w:p w14:paraId="1CD5B63C" w14:textId="0AD046FA" w:rsidR="00522B84" w:rsidRPr="00522B84" w:rsidRDefault="00802ABB" w:rsidP="00522B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22B84" w:rsidRPr="00985FAB">
          <w:rPr>
            <w:rStyle w:val="ab"/>
            <w:rFonts w:ascii="Times New Roman" w:hAnsi="Times New Roman" w:cs="Times New Roman"/>
            <w:sz w:val="24"/>
            <w:szCs w:val="24"/>
          </w:rPr>
          <w:t>https://grls.rosminzdrav.ru/</w:t>
        </w:r>
      </w:hyperlink>
      <w:r w:rsidR="00522B84">
        <w:rPr>
          <w:rFonts w:ascii="Times New Roman" w:hAnsi="Times New Roman" w:cs="Times New Roman"/>
          <w:sz w:val="24"/>
          <w:szCs w:val="24"/>
        </w:rPr>
        <w:t>. Инструкция по медицинскому применению препарата Амоксиклав</w:t>
      </w:r>
    </w:p>
    <w:p w14:paraId="606C0D6F" w14:textId="77777777" w:rsidR="008E6E22" w:rsidRPr="0044342F" w:rsidRDefault="008E6E22" w:rsidP="00443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6E22" w:rsidRPr="0044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7AD1"/>
    <w:multiLevelType w:val="hybridMultilevel"/>
    <w:tmpl w:val="30188B5E"/>
    <w:lvl w:ilvl="0" w:tplc="5A40D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12BF8"/>
    <w:multiLevelType w:val="hybridMultilevel"/>
    <w:tmpl w:val="B750FF1E"/>
    <w:lvl w:ilvl="0" w:tplc="8FA4121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27C9"/>
    <w:multiLevelType w:val="hybridMultilevel"/>
    <w:tmpl w:val="FC3638F4"/>
    <w:lvl w:ilvl="0" w:tplc="5D60B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A8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64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4E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02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C4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AF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87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46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E825112"/>
    <w:multiLevelType w:val="hybridMultilevel"/>
    <w:tmpl w:val="7A98930E"/>
    <w:lvl w:ilvl="0" w:tplc="9E746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377540"/>
    <w:multiLevelType w:val="hybridMultilevel"/>
    <w:tmpl w:val="EAC2B306"/>
    <w:lvl w:ilvl="0" w:tplc="62B43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8D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BAA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CE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61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AE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AF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5AF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02B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78"/>
    <w:rsid w:val="00004B1C"/>
    <w:rsid w:val="000113CC"/>
    <w:rsid w:val="000115E9"/>
    <w:rsid w:val="00011DE6"/>
    <w:rsid w:val="00017853"/>
    <w:rsid w:val="00026E23"/>
    <w:rsid w:val="00032A77"/>
    <w:rsid w:val="00036F9C"/>
    <w:rsid w:val="0004288B"/>
    <w:rsid w:val="000435F1"/>
    <w:rsid w:val="000453F5"/>
    <w:rsid w:val="0005277C"/>
    <w:rsid w:val="0006188C"/>
    <w:rsid w:val="00065CE6"/>
    <w:rsid w:val="00074593"/>
    <w:rsid w:val="00081E0E"/>
    <w:rsid w:val="00085E05"/>
    <w:rsid w:val="000946D4"/>
    <w:rsid w:val="000B0616"/>
    <w:rsid w:val="000B2468"/>
    <w:rsid w:val="000C751E"/>
    <w:rsid w:val="000D33A2"/>
    <w:rsid w:val="000F0BEA"/>
    <w:rsid w:val="000F4433"/>
    <w:rsid w:val="000F506A"/>
    <w:rsid w:val="0010244B"/>
    <w:rsid w:val="00114F2B"/>
    <w:rsid w:val="0012361D"/>
    <w:rsid w:val="001259FD"/>
    <w:rsid w:val="001276A1"/>
    <w:rsid w:val="00127B33"/>
    <w:rsid w:val="00143C1C"/>
    <w:rsid w:val="00155DA8"/>
    <w:rsid w:val="00167D95"/>
    <w:rsid w:val="00182633"/>
    <w:rsid w:val="00182D79"/>
    <w:rsid w:val="00183ADE"/>
    <w:rsid w:val="001867E0"/>
    <w:rsid w:val="00190390"/>
    <w:rsid w:val="001926FB"/>
    <w:rsid w:val="0019547E"/>
    <w:rsid w:val="001A5049"/>
    <w:rsid w:val="001A7D19"/>
    <w:rsid w:val="001B0347"/>
    <w:rsid w:val="001B6E18"/>
    <w:rsid w:val="001C0578"/>
    <w:rsid w:val="001C4E7D"/>
    <w:rsid w:val="001E3EFE"/>
    <w:rsid w:val="001E507E"/>
    <w:rsid w:val="00205137"/>
    <w:rsid w:val="00207730"/>
    <w:rsid w:val="002205D1"/>
    <w:rsid w:val="00225E04"/>
    <w:rsid w:val="002279E6"/>
    <w:rsid w:val="00234E57"/>
    <w:rsid w:val="00240533"/>
    <w:rsid w:val="002427AD"/>
    <w:rsid w:val="002456D3"/>
    <w:rsid w:val="00253644"/>
    <w:rsid w:val="00253940"/>
    <w:rsid w:val="00261D60"/>
    <w:rsid w:val="00265D19"/>
    <w:rsid w:val="00272576"/>
    <w:rsid w:val="00282A4A"/>
    <w:rsid w:val="002873DB"/>
    <w:rsid w:val="00291C41"/>
    <w:rsid w:val="00293D0A"/>
    <w:rsid w:val="00296480"/>
    <w:rsid w:val="002A02B6"/>
    <w:rsid w:val="002A1EED"/>
    <w:rsid w:val="002B681E"/>
    <w:rsid w:val="002B70A0"/>
    <w:rsid w:val="002D2C24"/>
    <w:rsid w:val="002F318F"/>
    <w:rsid w:val="002F4D8A"/>
    <w:rsid w:val="00306483"/>
    <w:rsid w:val="00310650"/>
    <w:rsid w:val="003175EF"/>
    <w:rsid w:val="00321CC7"/>
    <w:rsid w:val="003375CE"/>
    <w:rsid w:val="003460D1"/>
    <w:rsid w:val="003472D8"/>
    <w:rsid w:val="003518C2"/>
    <w:rsid w:val="00361C88"/>
    <w:rsid w:val="00377EB9"/>
    <w:rsid w:val="003A104B"/>
    <w:rsid w:val="003B7453"/>
    <w:rsid w:val="003C4E70"/>
    <w:rsid w:val="003D4A4D"/>
    <w:rsid w:val="003D7D74"/>
    <w:rsid w:val="003E76A4"/>
    <w:rsid w:val="003F2420"/>
    <w:rsid w:val="003F662F"/>
    <w:rsid w:val="004121A4"/>
    <w:rsid w:val="00414A22"/>
    <w:rsid w:val="004341D1"/>
    <w:rsid w:val="0044342F"/>
    <w:rsid w:val="004444A9"/>
    <w:rsid w:val="00457CD7"/>
    <w:rsid w:val="0046303F"/>
    <w:rsid w:val="00464C94"/>
    <w:rsid w:val="004710BF"/>
    <w:rsid w:val="00477F19"/>
    <w:rsid w:val="00482070"/>
    <w:rsid w:val="00493FB4"/>
    <w:rsid w:val="004A3959"/>
    <w:rsid w:val="004B0E16"/>
    <w:rsid w:val="004B3EE0"/>
    <w:rsid w:val="004B5413"/>
    <w:rsid w:val="004B7BFF"/>
    <w:rsid w:val="004C3D67"/>
    <w:rsid w:val="004D3DF5"/>
    <w:rsid w:val="004E1162"/>
    <w:rsid w:val="004E3A6B"/>
    <w:rsid w:val="00500E43"/>
    <w:rsid w:val="00501D8F"/>
    <w:rsid w:val="0051123C"/>
    <w:rsid w:val="00516289"/>
    <w:rsid w:val="00522B84"/>
    <w:rsid w:val="00530906"/>
    <w:rsid w:val="0054026A"/>
    <w:rsid w:val="00551A82"/>
    <w:rsid w:val="00555F1F"/>
    <w:rsid w:val="00556979"/>
    <w:rsid w:val="005622F6"/>
    <w:rsid w:val="00585B8A"/>
    <w:rsid w:val="0058702C"/>
    <w:rsid w:val="005A1131"/>
    <w:rsid w:val="005C0B93"/>
    <w:rsid w:val="005C2599"/>
    <w:rsid w:val="005C3EE2"/>
    <w:rsid w:val="005E3126"/>
    <w:rsid w:val="005F0A43"/>
    <w:rsid w:val="005F7590"/>
    <w:rsid w:val="00600D1D"/>
    <w:rsid w:val="00620FD8"/>
    <w:rsid w:val="00623430"/>
    <w:rsid w:val="0063505F"/>
    <w:rsid w:val="00637069"/>
    <w:rsid w:val="00637727"/>
    <w:rsid w:val="006431C5"/>
    <w:rsid w:val="00652283"/>
    <w:rsid w:val="0066275F"/>
    <w:rsid w:val="00667878"/>
    <w:rsid w:val="00685DA7"/>
    <w:rsid w:val="00687639"/>
    <w:rsid w:val="00691771"/>
    <w:rsid w:val="006B641F"/>
    <w:rsid w:val="006C2D05"/>
    <w:rsid w:val="006C62CA"/>
    <w:rsid w:val="006E04C9"/>
    <w:rsid w:val="006E304B"/>
    <w:rsid w:val="006F0FDF"/>
    <w:rsid w:val="006F1445"/>
    <w:rsid w:val="006F61A1"/>
    <w:rsid w:val="007020BD"/>
    <w:rsid w:val="007037A6"/>
    <w:rsid w:val="007039CB"/>
    <w:rsid w:val="00706B66"/>
    <w:rsid w:val="007374B8"/>
    <w:rsid w:val="00737C51"/>
    <w:rsid w:val="00741FB5"/>
    <w:rsid w:val="00743FED"/>
    <w:rsid w:val="00744BCC"/>
    <w:rsid w:val="007615A2"/>
    <w:rsid w:val="007705DB"/>
    <w:rsid w:val="00773556"/>
    <w:rsid w:val="00774F28"/>
    <w:rsid w:val="007C3B46"/>
    <w:rsid w:val="00802ABB"/>
    <w:rsid w:val="00803464"/>
    <w:rsid w:val="00806DBE"/>
    <w:rsid w:val="0081100F"/>
    <w:rsid w:val="008146F2"/>
    <w:rsid w:val="00817138"/>
    <w:rsid w:val="00834158"/>
    <w:rsid w:val="00841EE9"/>
    <w:rsid w:val="0084269C"/>
    <w:rsid w:val="008448A0"/>
    <w:rsid w:val="00856D00"/>
    <w:rsid w:val="00870A11"/>
    <w:rsid w:val="008753F2"/>
    <w:rsid w:val="008945F3"/>
    <w:rsid w:val="008958B2"/>
    <w:rsid w:val="0089661A"/>
    <w:rsid w:val="0089785B"/>
    <w:rsid w:val="008A15B9"/>
    <w:rsid w:val="008B3143"/>
    <w:rsid w:val="008B4559"/>
    <w:rsid w:val="008D3485"/>
    <w:rsid w:val="008E6E22"/>
    <w:rsid w:val="008F00A2"/>
    <w:rsid w:val="008F7C78"/>
    <w:rsid w:val="0090194F"/>
    <w:rsid w:val="00910571"/>
    <w:rsid w:val="00930286"/>
    <w:rsid w:val="00931398"/>
    <w:rsid w:val="009331D0"/>
    <w:rsid w:val="0093479D"/>
    <w:rsid w:val="00936857"/>
    <w:rsid w:val="00951072"/>
    <w:rsid w:val="009519DF"/>
    <w:rsid w:val="00955E1B"/>
    <w:rsid w:val="00965838"/>
    <w:rsid w:val="00971506"/>
    <w:rsid w:val="009B7F72"/>
    <w:rsid w:val="009D13B1"/>
    <w:rsid w:val="009D1FFC"/>
    <w:rsid w:val="009D5883"/>
    <w:rsid w:val="009E5B9A"/>
    <w:rsid w:val="009E72E7"/>
    <w:rsid w:val="00A07761"/>
    <w:rsid w:val="00A20913"/>
    <w:rsid w:val="00A21C24"/>
    <w:rsid w:val="00A25A85"/>
    <w:rsid w:val="00A370B8"/>
    <w:rsid w:val="00A534AF"/>
    <w:rsid w:val="00A54F6A"/>
    <w:rsid w:val="00A65F00"/>
    <w:rsid w:val="00A71C95"/>
    <w:rsid w:val="00A737B9"/>
    <w:rsid w:val="00A73BFD"/>
    <w:rsid w:val="00A878EA"/>
    <w:rsid w:val="00AA1230"/>
    <w:rsid w:val="00AB636A"/>
    <w:rsid w:val="00AC775C"/>
    <w:rsid w:val="00AD691A"/>
    <w:rsid w:val="00AE298A"/>
    <w:rsid w:val="00AE4BB4"/>
    <w:rsid w:val="00AF519B"/>
    <w:rsid w:val="00AF7251"/>
    <w:rsid w:val="00B20449"/>
    <w:rsid w:val="00B31F66"/>
    <w:rsid w:val="00B525DA"/>
    <w:rsid w:val="00B5546C"/>
    <w:rsid w:val="00B63061"/>
    <w:rsid w:val="00B775D7"/>
    <w:rsid w:val="00B847AE"/>
    <w:rsid w:val="00B96D2C"/>
    <w:rsid w:val="00BA529D"/>
    <w:rsid w:val="00BA5A31"/>
    <w:rsid w:val="00BA7804"/>
    <w:rsid w:val="00BB4925"/>
    <w:rsid w:val="00BC3A56"/>
    <w:rsid w:val="00BC706A"/>
    <w:rsid w:val="00BD32BF"/>
    <w:rsid w:val="00BD5013"/>
    <w:rsid w:val="00BE14A9"/>
    <w:rsid w:val="00BE5CE3"/>
    <w:rsid w:val="00BF30AA"/>
    <w:rsid w:val="00C10BB8"/>
    <w:rsid w:val="00C11904"/>
    <w:rsid w:val="00C27B85"/>
    <w:rsid w:val="00C43997"/>
    <w:rsid w:val="00C601B3"/>
    <w:rsid w:val="00C61089"/>
    <w:rsid w:val="00C6725D"/>
    <w:rsid w:val="00C76F08"/>
    <w:rsid w:val="00C90054"/>
    <w:rsid w:val="00C93647"/>
    <w:rsid w:val="00C95470"/>
    <w:rsid w:val="00CA13AF"/>
    <w:rsid w:val="00CB43F6"/>
    <w:rsid w:val="00CC09F7"/>
    <w:rsid w:val="00CD07CD"/>
    <w:rsid w:val="00D12C1E"/>
    <w:rsid w:val="00D215DA"/>
    <w:rsid w:val="00D334DE"/>
    <w:rsid w:val="00D3406A"/>
    <w:rsid w:val="00D40D0F"/>
    <w:rsid w:val="00D42226"/>
    <w:rsid w:val="00D42B04"/>
    <w:rsid w:val="00D5042C"/>
    <w:rsid w:val="00D7020E"/>
    <w:rsid w:val="00D7356B"/>
    <w:rsid w:val="00D7478A"/>
    <w:rsid w:val="00D75D76"/>
    <w:rsid w:val="00D76C92"/>
    <w:rsid w:val="00DA33DA"/>
    <w:rsid w:val="00DC06B5"/>
    <w:rsid w:val="00DD1765"/>
    <w:rsid w:val="00DE5784"/>
    <w:rsid w:val="00DF0D01"/>
    <w:rsid w:val="00DF5BEF"/>
    <w:rsid w:val="00E00C34"/>
    <w:rsid w:val="00E11A8E"/>
    <w:rsid w:val="00E15911"/>
    <w:rsid w:val="00E233E6"/>
    <w:rsid w:val="00E33A60"/>
    <w:rsid w:val="00E4024C"/>
    <w:rsid w:val="00E46B95"/>
    <w:rsid w:val="00E55991"/>
    <w:rsid w:val="00E64288"/>
    <w:rsid w:val="00E73A41"/>
    <w:rsid w:val="00E7568F"/>
    <w:rsid w:val="00E85CE6"/>
    <w:rsid w:val="00E94722"/>
    <w:rsid w:val="00E95190"/>
    <w:rsid w:val="00E977A9"/>
    <w:rsid w:val="00EA12C2"/>
    <w:rsid w:val="00EA363E"/>
    <w:rsid w:val="00EB6187"/>
    <w:rsid w:val="00EC4F72"/>
    <w:rsid w:val="00ED0D14"/>
    <w:rsid w:val="00ED52BA"/>
    <w:rsid w:val="00EF2442"/>
    <w:rsid w:val="00EF442A"/>
    <w:rsid w:val="00F06399"/>
    <w:rsid w:val="00F11DFE"/>
    <w:rsid w:val="00F128E3"/>
    <w:rsid w:val="00F1481A"/>
    <w:rsid w:val="00F26FF4"/>
    <w:rsid w:val="00F358C8"/>
    <w:rsid w:val="00F44E36"/>
    <w:rsid w:val="00F44F02"/>
    <w:rsid w:val="00F52C40"/>
    <w:rsid w:val="00F54131"/>
    <w:rsid w:val="00F60464"/>
    <w:rsid w:val="00F6312A"/>
    <w:rsid w:val="00F679C4"/>
    <w:rsid w:val="00F702A1"/>
    <w:rsid w:val="00F83EEB"/>
    <w:rsid w:val="00F8424D"/>
    <w:rsid w:val="00F8461B"/>
    <w:rsid w:val="00F90E98"/>
    <w:rsid w:val="00F95D09"/>
    <w:rsid w:val="00F96CA6"/>
    <w:rsid w:val="00FA1482"/>
    <w:rsid w:val="00FA17EB"/>
    <w:rsid w:val="00FC1A2B"/>
    <w:rsid w:val="00FC5B9E"/>
    <w:rsid w:val="00FC663B"/>
    <w:rsid w:val="00FD2DBB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69AC"/>
  <w15:chartTrackingRefBased/>
  <w15:docId w15:val="{F5B8BBDC-39C1-4E24-8C07-05626232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5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7E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2343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343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343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343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3430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BA7804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95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272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9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676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0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5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0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95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6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4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257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31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93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97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78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28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7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7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51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3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28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grls.rosminzdra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grls.rosminzdra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i.org/10.51793/OS.2022.25.9.0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2165/00003088-200544110-000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08631-55AC-470A-ADE7-A9E82ED2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5135</Words>
  <Characters>29271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Колесникова</dc:creator>
  <cp:keywords/>
  <dc:description/>
  <cp:lastModifiedBy>Медицинский департамент</cp:lastModifiedBy>
  <cp:revision>2</cp:revision>
  <dcterms:created xsi:type="dcterms:W3CDTF">2024-02-06T07:15:00Z</dcterms:created>
  <dcterms:modified xsi:type="dcterms:W3CDTF">2024-02-06T07:15:00Z</dcterms:modified>
</cp:coreProperties>
</file>